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BE65" w14:textId="77777777" w:rsidR="007F084F" w:rsidRDefault="005A213B">
      <w:pPr>
        <w:tabs>
          <w:tab w:val="left" w:pos="2694"/>
        </w:tabs>
        <w:autoSpaceDE w:val="0"/>
        <w:autoSpaceDN w:val="0"/>
        <w:adjustRightInd w:val="0"/>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《智慧城市</w:t>
      </w:r>
      <w:r>
        <w:rPr>
          <w:rFonts w:ascii="方正小标宋简体" w:eastAsia="方正小标宋简体" w:hAnsi="方正小标宋简体" w:cs="方正小标宋简体" w:hint="eastAsia"/>
          <w:bCs/>
          <w:kern w:val="0"/>
          <w:sz w:val="44"/>
          <w:szCs w:val="44"/>
        </w:rPr>
        <w:t xml:space="preserve"> </w:t>
      </w:r>
      <w:r>
        <w:rPr>
          <w:rFonts w:ascii="方正小标宋简体" w:eastAsia="方正小标宋简体" w:hAnsi="方正小标宋简体" w:cs="方正小标宋简体" w:hint="eastAsia"/>
          <w:bCs/>
          <w:kern w:val="0"/>
          <w:sz w:val="44"/>
          <w:szCs w:val="44"/>
        </w:rPr>
        <w:t>城市多级联动指挥平台建设要求》</w:t>
      </w:r>
    </w:p>
    <w:p w14:paraId="771C7DFD" w14:textId="77777777" w:rsidR="007F084F" w:rsidRDefault="005A213B">
      <w:pPr>
        <w:autoSpaceDE w:val="0"/>
        <w:autoSpaceDN w:val="0"/>
        <w:adjustRightInd w:val="0"/>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编制说明</w:t>
      </w:r>
    </w:p>
    <w:p w14:paraId="5F387209" w14:textId="77777777" w:rsidR="007F084F" w:rsidRDefault="005A213B">
      <w:pPr>
        <w:spacing w:line="360" w:lineRule="auto"/>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一、工作简况</w:t>
      </w:r>
    </w:p>
    <w:p w14:paraId="34F600E2" w14:textId="77777777" w:rsidR="007F084F" w:rsidRDefault="005A213B">
      <w:pPr>
        <w:spacing w:line="560" w:lineRule="exact"/>
        <w:ind w:firstLineChars="200" w:firstLine="640"/>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rPr>
        <w:t>一</w:t>
      </w:r>
      <w:r>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rPr>
        <w:t>任务来源</w:t>
      </w:r>
    </w:p>
    <w:p w14:paraId="31B6672A"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为贯彻落实《粤港澳大湾区发展规划纲要》《国家标准化发展纲要》以及《贯彻实施</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国家标准化发展纲要</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行动计划》有关要求，省市场监督管理局大力推进“湾区标准”体系建设工作，将该项工作列入《广东省市场监管现代化“十四五”规划》。智慧城市</w:t>
      </w:r>
      <w:r>
        <w:rPr>
          <w:rFonts w:ascii="仿宋_GB2312" w:eastAsia="仿宋_GB2312" w:hAnsi="仿宋_GB2312" w:cs="仿宋_GB2312" w:hint="eastAsia"/>
          <w:sz w:val="32"/>
          <w:szCs w:val="32"/>
        </w:rPr>
        <w:t>建设是</w:t>
      </w:r>
      <w:r>
        <w:rPr>
          <w:rFonts w:ascii="仿宋_GB2312" w:eastAsia="仿宋_GB2312" w:hAnsi="仿宋_GB2312" w:cs="仿宋_GB2312" w:hint="eastAsia"/>
          <w:sz w:val="32"/>
          <w:szCs w:val="32"/>
        </w:rPr>
        <w:t>推进新型城镇化、提升城市治理水平、发展数字经济的战略</w:t>
      </w:r>
      <w:r>
        <w:rPr>
          <w:rFonts w:ascii="仿宋_GB2312" w:eastAsia="仿宋_GB2312" w:hAnsi="仿宋_GB2312" w:cs="仿宋_GB2312" w:hint="eastAsia"/>
          <w:sz w:val="32"/>
          <w:szCs w:val="32"/>
        </w:rPr>
        <w:t>举措</w:t>
      </w:r>
      <w:r>
        <w:rPr>
          <w:rFonts w:ascii="仿宋_GB2312" w:eastAsia="仿宋_GB2312" w:hAnsi="仿宋_GB2312" w:cs="仿宋_GB2312" w:hint="eastAsia"/>
          <w:sz w:val="32"/>
          <w:szCs w:val="32"/>
        </w:rPr>
        <w:t>。习近平总书记高度重视智慧城市建设，多次对智慧城市发展做出重要指示。</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日，习近平总书记在政治局集体学习中强调，“以推行电子政务、建设新型智慧城市等为抓手，以数据集中和共享为途径，建设全国一体化的国家大数据中</w:t>
      </w:r>
      <w:r>
        <w:rPr>
          <w:rFonts w:ascii="仿宋_GB2312" w:eastAsia="仿宋_GB2312" w:hAnsi="仿宋_GB2312" w:cs="仿宋_GB2312" w:hint="eastAsia"/>
          <w:sz w:val="32"/>
          <w:szCs w:val="32"/>
        </w:rPr>
        <w:t>心，推进技术融合、业务融合、数据融合，实现跨层级、跨地域、跨系统、跨部门、跨业</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的协同管理和服务。</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日，习近平总书记指出“推进智慧城市建设，促进人工智能在公共安全领域的深度应用，加强生态领域人工智能运用，运用人工智能提高公共服务和社会治理水平。”</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日，习近平总书记指出“要推动区块链底层技术服务和新型智慧城市建设相结合，探索在信息基础设施、智慧交通、能源电力等领域的推广应用，提升城市管理的智能化、精准化水平。”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日，习近平总书记在杭州城市大脑运营指挥中心观看</w:t>
      </w:r>
      <w:r>
        <w:rPr>
          <w:rFonts w:ascii="仿宋_GB2312" w:eastAsia="仿宋_GB2312" w:hAnsi="仿宋_GB2312" w:cs="仿宋_GB2312" w:hint="eastAsia"/>
          <w:sz w:val="32"/>
          <w:szCs w:val="32"/>
        </w:rPr>
        <w:t>“数字杭州”建设情况，指出“从信息化到智能化再到智慧化，是建设智慧城市的必由之路，前景广阔。”</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年，党的二十大报告指出，“加强城市基础设施建设，打造宜居、韧性、智慧城市”。</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月，习近平总书记</w:t>
      </w:r>
      <w:r>
        <w:rPr>
          <w:rFonts w:ascii="仿宋_GB2312" w:eastAsia="仿宋_GB2312" w:hAnsi="仿宋_GB2312" w:cs="仿宋_GB2312" w:hint="eastAsia"/>
          <w:sz w:val="32"/>
          <w:szCs w:val="32"/>
        </w:rPr>
        <w:lastRenderedPageBreak/>
        <w:t>在上海考察时指出，“在城市规划和执行上坚持一张蓝图绘到底，加快城市数字化转型”。</w:t>
      </w:r>
    </w:p>
    <w:p w14:paraId="471DCD4C"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日，国家发展改革委、国家数据局、财政部、自然资源部联合发布《关于深化智慧城市发展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推进城市全域数字化转型的指导意见》（</w:t>
      </w:r>
      <w:proofErr w:type="gramStart"/>
      <w:r>
        <w:rPr>
          <w:rFonts w:ascii="仿宋_GB2312" w:eastAsia="仿宋_GB2312" w:hAnsi="仿宋_GB2312" w:cs="仿宋_GB2312" w:hint="eastAsia"/>
          <w:sz w:val="32"/>
          <w:szCs w:val="32"/>
        </w:rPr>
        <w:t>发改数据</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660</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明确提出“</w:t>
      </w:r>
      <w:r>
        <w:rPr>
          <w:rFonts w:ascii="仿宋_GB2312" w:eastAsia="仿宋_GB2312" w:hAnsi="仿宋_GB2312" w:cs="仿宋_GB2312" w:hint="eastAsia"/>
          <w:b/>
          <w:bCs/>
          <w:sz w:val="32"/>
          <w:szCs w:val="32"/>
        </w:rPr>
        <w:t>构建统一规划、统一架构、统一标准、统一运维的</w:t>
      </w:r>
      <w:r>
        <w:rPr>
          <w:rFonts w:ascii="仿宋_GB2312" w:eastAsia="仿宋_GB2312" w:hAnsi="仿宋_GB2312" w:cs="仿宋_GB2312" w:hint="eastAsia"/>
          <w:b/>
          <w:bCs/>
          <w:sz w:val="32"/>
          <w:szCs w:val="32"/>
        </w:rPr>
        <w:t>城市运行和治理智能中枢，打造线上线下联动、服务管理协同的城市共性支撑平台，构建开放兼容、共性赋能、安全可靠的综合性基础环境，推进算法、模型等数字资源一体集成部署，探索建立共性组件、模块等共享协作机制。</w:t>
      </w:r>
      <w:r>
        <w:rPr>
          <w:rFonts w:ascii="仿宋_GB2312" w:eastAsia="仿宋_GB2312" w:hAnsi="仿宋_GB2312" w:cs="仿宋_GB2312" w:hint="eastAsia"/>
          <w:sz w:val="32"/>
          <w:szCs w:val="32"/>
        </w:rPr>
        <w:t>”通过</w:t>
      </w:r>
      <w:proofErr w:type="gramStart"/>
      <w:r>
        <w:rPr>
          <w:rFonts w:ascii="仿宋_GB2312" w:eastAsia="仿宋_GB2312" w:hAnsi="仿宋_GB2312" w:cs="仿宋_GB2312" w:hint="eastAsia"/>
          <w:sz w:val="32"/>
          <w:szCs w:val="32"/>
        </w:rPr>
        <w:t>集聚深</w:t>
      </w:r>
      <w:proofErr w:type="gramEnd"/>
      <w:r>
        <w:rPr>
          <w:rFonts w:ascii="仿宋_GB2312" w:eastAsia="仿宋_GB2312" w:hAnsi="仿宋_GB2312" w:cs="仿宋_GB2312" w:hint="eastAsia"/>
          <w:sz w:val="32"/>
          <w:szCs w:val="32"/>
        </w:rPr>
        <w:t>港澳三地在智慧城市建设方面的优势和好做法，</w:t>
      </w:r>
      <w:r>
        <w:rPr>
          <w:rFonts w:ascii="仿宋_GB2312" w:eastAsia="仿宋_GB2312" w:hAnsi="仿宋_GB2312" w:cs="仿宋_GB2312" w:hint="eastAsia"/>
          <w:sz w:val="32"/>
          <w:szCs w:val="32"/>
        </w:rPr>
        <w:t>建设共建共享、互联互通的城市共性支撑平台</w:t>
      </w:r>
      <w:r>
        <w:rPr>
          <w:rFonts w:ascii="仿宋_GB2312" w:eastAsia="仿宋_GB2312" w:hAnsi="仿宋_GB2312" w:cs="仿宋_GB2312" w:hint="eastAsia"/>
          <w:sz w:val="32"/>
          <w:szCs w:val="32"/>
        </w:rPr>
        <w:t>规范，这在粤港澳大湾区战略和协同发展的大背景下，对深入推进粤港澳大湾区智慧城市建设具有非常明显的现实意义。结合“湾区标准”研制计划，本课题由</w:t>
      </w:r>
      <w:r>
        <w:rPr>
          <w:rFonts w:ascii="仿宋_GB2312" w:eastAsia="仿宋_GB2312" w:hAnsi="仿宋_GB2312" w:cs="仿宋_GB2312" w:hint="eastAsia"/>
          <w:sz w:val="32"/>
          <w:szCs w:val="32"/>
        </w:rPr>
        <w:t>华为技术有限公司</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深圳市标准技术研究院</w:t>
      </w:r>
      <w:r>
        <w:rPr>
          <w:rFonts w:ascii="仿宋_GB2312" w:eastAsia="仿宋_GB2312" w:hAnsi="仿宋_GB2312" w:cs="仿宋_GB2312" w:hint="eastAsia"/>
          <w:sz w:val="32"/>
          <w:szCs w:val="32"/>
        </w:rPr>
        <w:t>提出，由智慧城市产业生态圈、深圳市物联网产业协会于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月联合立项。</w:t>
      </w:r>
    </w:p>
    <w:p w14:paraId="7B0665AE" w14:textId="77777777" w:rsidR="007F084F" w:rsidRDefault="005A213B">
      <w:pPr>
        <w:spacing w:line="560" w:lineRule="exact"/>
        <w:ind w:firstLineChars="200" w:firstLine="640"/>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（二）起草单位及分工</w:t>
      </w:r>
    </w:p>
    <w:p w14:paraId="3B92FA19"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本标准由华为技术有限公司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深圳市标准技术研究院、成都智慧城市信息技术有限公司、中国电子技术标准化研究院、深圳国家高技术产业创新中心、杭州</w:t>
      </w:r>
      <w:proofErr w:type="gramStart"/>
      <w:r>
        <w:rPr>
          <w:rFonts w:ascii="仿宋_GB2312" w:eastAsia="仿宋_GB2312" w:hAnsi="仿宋_GB2312" w:cs="仿宋_GB2312" w:hint="eastAsia"/>
          <w:sz w:val="32"/>
          <w:szCs w:val="32"/>
        </w:rPr>
        <w:t>叙简科技</w:t>
      </w:r>
      <w:proofErr w:type="gramEnd"/>
      <w:r>
        <w:rPr>
          <w:rFonts w:ascii="仿宋_GB2312" w:eastAsia="仿宋_GB2312" w:hAnsi="仿宋_GB2312" w:cs="仿宋_GB2312" w:hint="eastAsia"/>
          <w:sz w:val="32"/>
          <w:szCs w:val="32"/>
        </w:rPr>
        <w:t>股份有限公司、广州欣纬智慧安全科技有限公司、深圳星网信通科技股份有限公司、奥泰尔科技有限公司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香港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、龙杰科技有限公司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香港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、数字</w:t>
      </w:r>
      <w:proofErr w:type="gramStart"/>
      <w:r>
        <w:rPr>
          <w:rFonts w:ascii="仿宋_GB2312" w:eastAsia="仿宋_GB2312" w:hAnsi="仿宋_GB2312" w:cs="仿宋_GB2312" w:hint="eastAsia"/>
          <w:sz w:val="32"/>
          <w:szCs w:val="32"/>
        </w:rPr>
        <w:t>城方产业</w:t>
      </w:r>
      <w:proofErr w:type="gramEnd"/>
      <w:r>
        <w:rPr>
          <w:rFonts w:ascii="仿宋_GB2312" w:eastAsia="仿宋_GB2312" w:hAnsi="仿宋_GB2312" w:cs="仿宋_GB2312" w:hint="eastAsia"/>
          <w:sz w:val="32"/>
          <w:szCs w:val="32"/>
        </w:rPr>
        <w:t>生态联盟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香港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、中国物联网控股有限公司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香港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、澳门科技大学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澳门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、炎黄集团有限公司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澳门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家机构组成起草工作组，具体编制分工如下表所示</w:t>
      </w:r>
      <w:r>
        <w:rPr>
          <w:rFonts w:ascii="仿宋_GB2312" w:eastAsia="仿宋_GB2312" w:hAnsi="仿宋_GB2312" w:cs="仿宋_GB2312" w:hint="eastAsia"/>
          <w:sz w:val="32"/>
          <w:szCs w:val="32"/>
        </w:rPr>
        <w:t>。</w:t>
      </w:r>
    </w:p>
    <w:tbl>
      <w:tblPr>
        <w:tblStyle w:val="afc"/>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567"/>
        <w:gridCol w:w="6395"/>
      </w:tblGrid>
      <w:tr w:rsidR="007F084F" w14:paraId="1013F1BA" w14:textId="77777777">
        <w:tc>
          <w:tcPr>
            <w:tcW w:w="3567" w:type="dxa"/>
            <w:tcBorders>
              <w:tl2br w:val="nil"/>
              <w:tr2bl w:val="nil"/>
            </w:tcBorders>
          </w:tcPr>
          <w:p w14:paraId="75BF2E52" w14:textId="77777777" w:rsidR="007F084F" w:rsidRDefault="005A213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任务划分</w:t>
            </w:r>
          </w:p>
        </w:tc>
        <w:tc>
          <w:tcPr>
            <w:tcW w:w="6395" w:type="dxa"/>
            <w:tcBorders>
              <w:tl2br w:val="nil"/>
              <w:tr2bl w:val="nil"/>
            </w:tcBorders>
          </w:tcPr>
          <w:p w14:paraId="6DC6E134" w14:textId="77777777" w:rsidR="007F084F" w:rsidRDefault="005A213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编制单位</w:t>
            </w:r>
          </w:p>
        </w:tc>
      </w:tr>
      <w:tr w:rsidR="007F084F" w14:paraId="1325C9E4" w14:textId="77777777">
        <w:tc>
          <w:tcPr>
            <w:tcW w:w="3567" w:type="dxa"/>
            <w:tcBorders>
              <w:tl2br w:val="nil"/>
              <w:tr2bl w:val="nil"/>
            </w:tcBorders>
          </w:tcPr>
          <w:p w14:paraId="615245F1" w14:textId="77777777" w:rsidR="007F084F" w:rsidRDefault="005A213B">
            <w:pPr>
              <w:rPr>
                <w:rFonts w:ascii="Times New Roman" w:eastAsia="方正仿宋简体" w:hAnsi="Times New Roman" w:cs="Times New Roman"/>
                <w:kern w:val="0"/>
                <w:sz w:val="28"/>
                <w:szCs w:val="28"/>
              </w:rPr>
            </w:pPr>
            <w:r>
              <w:rPr>
                <w:rFonts w:ascii="仿宋_GB2312" w:eastAsia="仿宋_GB2312" w:hAnsi="仿宋_GB2312" w:cs="仿宋_GB2312" w:hint="eastAsia"/>
                <w:sz w:val="32"/>
                <w:szCs w:val="32"/>
              </w:rPr>
              <w:lastRenderedPageBreak/>
              <w:t>标准立项、标准执行协调、标准研制实施方案、标准大纲、标准目标与编制原则起草</w:t>
            </w:r>
          </w:p>
        </w:tc>
        <w:tc>
          <w:tcPr>
            <w:tcW w:w="6395" w:type="dxa"/>
            <w:tcBorders>
              <w:tl2br w:val="nil"/>
              <w:tr2bl w:val="nil"/>
            </w:tcBorders>
          </w:tcPr>
          <w:p w14:paraId="52254424" w14:textId="77777777" w:rsidR="007F084F" w:rsidRDefault="005A213B">
            <w:pPr>
              <w:rPr>
                <w:rFonts w:ascii="Times New Roman" w:eastAsia="方正仿宋简体" w:hAnsi="Times New Roman" w:cs="Times New Roman"/>
                <w:kern w:val="0"/>
                <w:sz w:val="28"/>
                <w:szCs w:val="28"/>
              </w:rPr>
            </w:pPr>
            <w:r>
              <w:rPr>
                <w:rFonts w:ascii="仿宋_GB2312" w:eastAsia="仿宋_GB2312" w:hAnsi="仿宋_GB2312" w:cs="仿宋_GB2312" w:hint="eastAsia"/>
                <w:sz w:val="32"/>
                <w:szCs w:val="32"/>
              </w:rPr>
              <w:t>华为技术有限公司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深圳市标准技术研究院</w:t>
            </w:r>
          </w:p>
        </w:tc>
      </w:tr>
      <w:tr w:rsidR="007F084F" w14:paraId="530A9356" w14:textId="77777777">
        <w:tc>
          <w:tcPr>
            <w:tcW w:w="3567" w:type="dxa"/>
            <w:tcBorders>
              <w:tl2br w:val="nil"/>
              <w:tr2bl w:val="nil"/>
            </w:tcBorders>
          </w:tcPr>
          <w:p w14:paraId="78E01A94" w14:textId="77777777" w:rsidR="007F084F" w:rsidRDefault="005A213B">
            <w:pPr>
              <w:rPr>
                <w:rFonts w:ascii="Times New Roman" w:eastAsia="方正仿宋简体" w:hAnsi="Times New Roman" w:cs="Times New Roman"/>
                <w:kern w:val="0"/>
                <w:sz w:val="28"/>
                <w:szCs w:val="28"/>
              </w:rPr>
            </w:pPr>
            <w:r>
              <w:rPr>
                <w:rFonts w:ascii="仿宋_GB2312" w:eastAsia="仿宋_GB2312" w:hAnsi="仿宋_GB2312" w:cs="仿宋_GB2312" w:hint="eastAsia"/>
                <w:sz w:val="32"/>
                <w:szCs w:val="32"/>
              </w:rPr>
              <w:t>技术要求、安全要求、接口规范等内容编制</w:t>
            </w:r>
          </w:p>
        </w:tc>
        <w:tc>
          <w:tcPr>
            <w:tcW w:w="6395" w:type="dxa"/>
            <w:tcBorders>
              <w:tl2br w:val="nil"/>
              <w:tr2bl w:val="nil"/>
            </w:tcBorders>
          </w:tcPr>
          <w:p w14:paraId="6FD9183B" w14:textId="77777777" w:rsidR="007F084F" w:rsidRDefault="005A213B">
            <w:pPr>
              <w:rPr>
                <w:rFonts w:ascii="Times New Roman" w:eastAsia="方正仿宋简体" w:hAnsi="Times New Roman" w:cs="Times New Roman"/>
                <w:kern w:val="0"/>
                <w:sz w:val="28"/>
                <w:szCs w:val="28"/>
              </w:rPr>
            </w:pPr>
            <w:r>
              <w:rPr>
                <w:rFonts w:ascii="仿宋_GB2312" w:eastAsia="仿宋_GB2312" w:hAnsi="仿宋_GB2312" w:cs="仿宋_GB2312" w:hint="eastAsia"/>
                <w:sz w:val="32"/>
                <w:szCs w:val="32"/>
              </w:rPr>
              <w:t>成都智慧城市信息技术有限公司、中国电子技术标准化研究院、深圳国家高技术产业创新中心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杭州</w:t>
            </w:r>
            <w:proofErr w:type="gramStart"/>
            <w:r>
              <w:rPr>
                <w:rFonts w:ascii="仿宋_GB2312" w:eastAsia="仿宋_GB2312" w:hAnsi="仿宋_GB2312" w:cs="仿宋_GB2312" w:hint="eastAsia"/>
                <w:sz w:val="32"/>
                <w:szCs w:val="32"/>
              </w:rPr>
              <w:t>叙简科技</w:t>
            </w:r>
            <w:proofErr w:type="gramEnd"/>
            <w:r>
              <w:rPr>
                <w:rFonts w:ascii="仿宋_GB2312" w:eastAsia="仿宋_GB2312" w:hAnsi="仿宋_GB2312" w:cs="仿宋_GB2312" w:hint="eastAsia"/>
                <w:sz w:val="32"/>
                <w:szCs w:val="32"/>
              </w:rPr>
              <w:t>股份有限公司、广州欣纬智慧安全科技有限公司、深圳星网信通科技股份有限公司</w:t>
            </w:r>
            <w:r>
              <w:rPr>
                <w:rFonts w:ascii="仿宋_GB2312" w:eastAsia="仿宋_GB2312" w:hAnsi="仿宋_GB2312" w:cs="仿宋_GB2312" w:hint="eastAsia"/>
                <w:sz w:val="32"/>
                <w:szCs w:val="32"/>
              </w:rPr>
              <w:t>、奥泰尔科技有限公司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香港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、龙杰科技有限公司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香港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、数字</w:t>
            </w:r>
            <w:proofErr w:type="gramStart"/>
            <w:r>
              <w:rPr>
                <w:rFonts w:ascii="仿宋_GB2312" w:eastAsia="仿宋_GB2312" w:hAnsi="仿宋_GB2312" w:cs="仿宋_GB2312" w:hint="eastAsia"/>
                <w:sz w:val="32"/>
                <w:szCs w:val="32"/>
              </w:rPr>
              <w:t>城方产业</w:t>
            </w:r>
            <w:proofErr w:type="gramEnd"/>
            <w:r>
              <w:rPr>
                <w:rFonts w:ascii="仿宋_GB2312" w:eastAsia="仿宋_GB2312" w:hAnsi="仿宋_GB2312" w:cs="仿宋_GB2312" w:hint="eastAsia"/>
                <w:sz w:val="32"/>
                <w:szCs w:val="32"/>
              </w:rPr>
              <w:t>生态联盟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香港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、中国物联网控股有限公司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香港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、澳门科技大学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澳门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、炎黄集团有限公司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澳门</w:t>
            </w:r>
            <w:r>
              <w:rPr>
                <w:rFonts w:ascii="仿宋_GB2312" w:eastAsia="仿宋_GB2312" w:hAnsi="仿宋_GB2312" w:cs="仿宋_GB2312" w:hint="eastAsia"/>
                <w:sz w:val="32"/>
                <w:szCs w:val="32"/>
              </w:rPr>
              <w:t>)</w:t>
            </w:r>
          </w:p>
        </w:tc>
      </w:tr>
    </w:tbl>
    <w:p w14:paraId="793B4E9C" w14:textId="77777777" w:rsidR="007F084F" w:rsidRDefault="005A213B">
      <w:pPr>
        <w:pStyle w:val="af8"/>
        <w:spacing w:before="0" w:after="0" w:line="560" w:lineRule="exact"/>
        <w:ind w:firstLineChars="200" w:firstLine="640"/>
        <w:rPr>
          <w:rFonts w:ascii="黑体" w:eastAsia="黑体" w:hAnsi="黑体" w:cs="黑体"/>
          <w:b w:val="0"/>
          <w:bCs w:val="0"/>
        </w:rPr>
      </w:pPr>
      <w:r>
        <w:rPr>
          <w:rFonts w:ascii="黑体" w:eastAsia="黑体" w:hAnsi="黑体" w:cs="黑体" w:hint="eastAsia"/>
          <w:b w:val="0"/>
          <w:bCs w:val="0"/>
        </w:rPr>
        <w:t>二、</w:t>
      </w:r>
      <w:r>
        <w:rPr>
          <w:rFonts w:ascii="黑体" w:eastAsia="黑体" w:hAnsi="黑体" w:cs="黑体" w:hint="eastAsia"/>
          <w:b w:val="0"/>
          <w:bCs w:val="0"/>
        </w:rPr>
        <w:t>标准立项的必要性，拟解决的问题</w:t>
      </w:r>
    </w:p>
    <w:p w14:paraId="4C0E4A84" w14:textId="77777777" w:rsidR="007F084F" w:rsidRDefault="005A213B">
      <w:pPr>
        <w:spacing w:line="560" w:lineRule="exact"/>
        <w:ind w:firstLineChars="200" w:firstLine="640"/>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（一）立项的必要性</w:t>
      </w:r>
    </w:p>
    <w:p w14:paraId="6EE4670F" w14:textId="77777777" w:rsidR="007F084F" w:rsidRDefault="005A213B">
      <w:pPr>
        <w:pStyle w:val="2"/>
        <w:spacing w:before="0" w:after="0" w:line="560" w:lineRule="exact"/>
        <w:ind w:firstLineChars="200" w:firstLine="643"/>
        <w:rPr>
          <w:rFonts w:ascii="仿宋_GB2312" w:eastAsia="仿宋_GB2312" w:hAnsi="仿宋_GB2312" w:cs="仿宋_GB2312"/>
          <w:b w:val="0"/>
          <w:bCs w:val="0"/>
        </w:rPr>
      </w:pPr>
      <w:r>
        <w:rPr>
          <w:rFonts w:ascii="仿宋_GB2312" w:eastAsia="仿宋_GB2312" w:hAnsi="仿宋_GB2312" w:cs="仿宋_GB2312" w:hint="eastAsia"/>
        </w:rPr>
        <w:lastRenderedPageBreak/>
        <w:t>我国智慧城市建设进入</w:t>
      </w:r>
      <w:proofErr w:type="gramStart"/>
      <w:r>
        <w:rPr>
          <w:rFonts w:ascii="仿宋_GB2312" w:eastAsia="仿宋_GB2312" w:hAnsi="仿宋_GB2312" w:cs="仿宋_GB2312" w:hint="eastAsia"/>
        </w:rPr>
        <w:t>全域数智化</w:t>
      </w:r>
      <w:proofErr w:type="gramEnd"/>
      <w:r>
        <w:rPr>
          <w:rFonts w:ascii="仿宋_GB2312" w:eastAsia="仿宋_GB2312" w:hAnsi="仿宋_GB2312" w:cs="仿宋_GB2312" w:hint="eastAsia"/>
        </w:rPr>
        <w:t>转型新阶段</w:t>
      </w:r>
      <w:r>
        <w:rPr>
          <w:rFonts w:ascii="仿宋_GB2312" w:eastAsia="仿宋_GB2312" w:hAnsi="仿宋_GB2312" w:cs="仿宋_GB2312" w:hint="eastAsia"/>
        </w:rPr>
        <w:t>，智慧城市建设开启体系重构、质效提升新篇章。</w:t>
      </w:r>
      <w:r>
        <w:rPr>
          <w:rFonts w:ascii="仿宋_GB2312" w:eastAsia="仿宋_GB2312" w:hAnsi="仿宋_GB2312" w:cs="仿宋_GB2312" w:hint="eastAsia"/>
          <w:b w:val="0"/>
          <w:bCs w:val="0"/>
        </w:rPr>
        <w:t>2014</w:t>
      </w:r>
      <w:r>
        <w:rPr>
          <w:rFonts w:ascii="仿宋_GB2312" w:eastAsia="仿宋_GB2312" w:hAnsi="仿宋_GB2312" w:cs="仿宋_GB2312" w:hint="eastAsia"/>
          <w:b w:val="0"/>
          <w:bCs w:val="0"/>
        </w:rPr>
        <w:t>年</w:t>
      </w:r>
      <w:r>
        <w:rPr>
          <w:rFonts w:ascii="仿宋_GB2312" w:eastAsia="仿宋_GB2312" w:hAnsi="仿宋_GB2312" w:cs="仿宋_GB2312" w:hint="eastAsia"/>
          <w:b w:val="0"/>
          <w:bCs w:val="0"/>
        </w:rPr>
        <w:t>8</w:t>
      </w:r>
      <w:r>
        <w:rPr>
          <w:rFonts w:ascii="仿宋_GB2312" w:eastAsia="仿宋_GB2312" w:hAnsi="仿宋_GB2312" w:cs="仿宋_GB2312" w:hint="eastAsia"/>
          <w:b w:val="0"/>
          <w:bCs w:val="0"/>
        </w:rPr>
        <w:t>月</w:t>
      </w:r>
      <w:r>
        <w:rPr>
          <w:rFonts w:ascii="仿宋_GB2312" w:eastAsia="仿宋_GB2312" w:hAnsi="仿宋_GB2312" w:cs="仿宋_GB2312" w:hint="eastAsia"/>
          <w:b w:val="0"/>
          <w:bCs w:val="0"/>
        </w:rPr>
        <w:t>，国家发展改革委等八部委联合印发了《关于促进智慧城市健康发展的指导意见》</w:t>
      </w:r>
      <w:r>
        <w:rPr>
          <w:rFonts w:ascii="仿宋_GB2312" w:eastAsia="仿宋_GB2312" w:hAnsi="仿宋_GB2312" w:cs="仿宋_GB2312" w:hint="eastAsia"/>
          <w:b w:val="0"/>
          <w:bCs w:val="0"/>
        </w:rPr>
        <w:t>(</w:t>
      </w:r>
      <w:proofErr w:type="gramStart"/>
      <w:r>
        <w:rPr>
          <w:rFonts w:ascii="仿宋_GB2312" w:eastAsia="仿宋_GB2312" w:hAnsi="仿宋_GB2312" w:cs="仿宋_GB2312" w:hint="eastAsia"/>
          <w:b w:val="0"/>
          <w:bCs w:val="0"/>
        </w:rPr>
        <w:t>发改高</w:t>
      </w:r>
      <w:proofErr w:type="gramEnd"/>
      <w:r>
        <w:rPr>
          <w:rFonts w:ascii="仿宋_GB2312" w:eastAsia="仿宋_GB2312" w:hAnsi="仿宋_GB2312" w:cs="仿宋_GB2312" w:hint="eastAsia"/>
          <w:b w:val="0"/>
          <w:bCs w:val="0"/>
        </w:rPr>
        <w:t>技〔</w:t>
      </w:r>
      <w:r>
        <w:rPr>
          <w:rFonts w:ascii="仿宋_GB2312" w:eastAsia="仿宋_GB2312" w:hAnsi="仿宋_GB2312" w:cs="仿宋_GB2312" w:hint="eastAsia"/>
          <w:b w:val="0"/>
          <w:bCs w:val="0"/>
        </w:rPr>
        <w:t>20</w:t>
      </w:r>
      <w:r>
        <w:rPr>
          <w:rFonts w:ascii="仿宋_GB2312" w:eastAsia="仿宋_GB2312" w:hAnsi="仿宋_GB2312" w:cs="仿宋_GB2312" w:hint="eastAsia"/>
          <w:b w:val="0"/>
          <w:bCs w:val="0"/>
        </w:rPr>
        <w:t>1</w:t>
      </w:r>
      <w:r>
        <w:rPr>
          <w:rFonts w:ascii="仿宋_GB2312" w:eastAsia="仿宋_GB2312" w:hAnsi="仿宋_GB2312" w:cs="仿宋_GB2312" w:hint="eastAsia"/>
          <w:b w:val="0"/>
          <w:bCs w:val="0"/>
        </w:rPr>
        <w:t>4</w:t>
      </w:r>
      <w:r>
        <w:rPr>
          <w:rFonts w:ascii="仿宋_GB2312" w:eastAsia="仿宋_GB2312" w:hAnsi="仿宋_GB2312" w:cs="仿宋_GB2312" w:hint="eastAsia"/>
          <w:b w:val="0"/>
          <w:bCs w:val="0"/>
        </w:rPr>
        <w:t>〕</w:t>
      </w:r>
      <w:r>
        <w:rPr>
          <w:rFonts w:ascii="仿宋_GB2312" w:eastAsia="仿宋_GB2312" w:hAnsi="仿宋_GB2312" w:cs="仿宋_GB2312" w:hint="eastAsia"/>
          <w:b w:val="0"/>
          <w:bCs w:val="0"/>
        </w:rPr>
        <w:t>1770</w:t>
      </w:r>
      <w:r>
        <w:rPr>
          <w:rFonts w:ascii="仿宋_GB2312" w:eastAsia="仿宋_GB2312" w:hAnsi="仿宋_GB2312" w:cs="仿宋_GB2312" w:hint="eastAsia"/>
          <w:b w:val="0"/>
          <w:bCs w:val="0"/>
        </w:rPr>
        <w:t>号</w:t>
      </w:r>
      <w:r>
        <w:rPr>
          <w:rFonts w:ascii="仿宋_GB2312" w:eastAsia="仿宋_GB2312" w:hAnsi="仿宋_GB2312" w:cs="仿宋_GB2312" w:hint="eastAsia"/>
          <w:b w:val="0"/>
          <w:bCs w:val="0"/>
        </w:rPr>
        <w:t>)</w:t>
      </w:r>
      <w:r>
        <w:rPr>
          <w:rFonts w:ascii="仿宋_GB2312" w:eastAsia="仿宋_GB2312" w:hAnsi="仿宋_GB2312" w:cs="仿宋_GB2312" w:hint="eastAsia"/>
          <w:b w:val="0"/>
          <w:bCs w:val="0"/>
        </w:rPr>
        <w:t>，旨在解决当时我国智慧城市建设缺乏顶层设计和统筹规划、体制机制创新滞后、网络安全隐患和风险突出等问题，对规范和推动我国智慧城市健康发展起到了关键作用。</w:t>
      </w:r>
      <w:r>
        <w:rPr>
          <w:rFonts w:ascii="仿宋_GB2312" w:eastAsia="仿宋_GB2312" w:hAnsi="仿宋_GB2312" w:cs="仿宋_GB2312" w:hint="eastAsia"/>
          <w:b w:val="0"/>
          <w:bCs w:val="0"/>
        </w:rPr>
        <w:t>2024</w:t>
      </w:r>
      <w:r>
        <w:rPr>
          <w:rFonts w:ascii="仿宋_GB2312" w:eastAsia="仿宋_GB2312" w:hAnsi="仿宋_GB2312" w:cs="仿宋_GB2312" w:hint="eastAsia"/>
          <w:b w:val="0"/>
          <w:bCs w:val="0"/>
        </w:rPr>
        <w:t>年</w:t>
      </w:r>
      <w:r>
        <w:rPr>
          <w:rFonts w:ascii="仿宋_GB2312" w:eastAsia="仿宋_GB2312" w:hAnsi="仿宋_GB2312" w:cs="仿宋_GB2312" w:hint="eastAsia"/>
          <w:b w:val="0"/>
          <w:bCs w:val="0"/>
        </w:rPr>
        <w:t>5</w:t>
      </w:r>
      <w:r>
        <w:rPr>
          <w:rFonts w:ascii="仿宋_GB2312" w:eastAsia="仿宋_GB2312" w:hAnsi="仿宋_GB2312" w:cs="仿宋_GB2312" w:hint="eastAsia"/>
          <w:b w:val="0"/>
          <w:bCs w:val="0"/>
        </w:rPr>
        <w:t>月</w:t>
      </w:r>
      <w:r>
        <w:rPr>
          <w:rFonts w:ascii="仿宋_GB2312" w:eastAsia="仿宋_GB2312" w:hAnsi="仿宋_GB2312" w:cs="仿宋_GB2312" w:hint="eastAsia"/>
          <w:b w:val="0"/>
          <w:bCs w:val="0"/>
        </w:rPr>
        <w:t>，</w:t>
      </w:r>
      <w:r>
        <w:rPr>
          <w:rFonts w:ascii="仿宋_GB2312" w:eastAsia="仿宋_GB2312" w:hAnsi="仿宋_GB2312" w:cs="仿宋_GB2312" w:hint="eastAsia"/>
          <w:b w:val="0"/>
          <w:bCs w:val="0"/>
        </w:rPr>
        <w:t>《关于深化智慧城市发展</w:t>
      </w:r>
      <w:r>
        <w:rPr>
          <w:rFonts w:ascii="仿宋_GB2312" w:eastAsia="仿宋_GB2312" w:hAnsi="仿宋_GB2312" w:cs="仿宋_GB2312" w:hint="eastAsia"/>
          <w:b w:val="0"/>
          <w:bCs w:val="0"/>
        </w:rPr>
        <w:t xml:space="preserve"> </w:t>
      </w:r>
      <w:r>
        <w:rPr>
          <w:rFonts w:ascii="仿宋_GB2312" w:eastAsia="仿宋_GB2312" w:hAnsi="仿宋_GB2312" w:cs="仿宋_GB2312" w:hint="eastAsia"/>
          <w:b w:val="0"/>
          <w:bCs w:val="0"/>
        </w:rPr>
        <w:t>推进城市全域数字化转型的指导意见》</w:t>
      </w:r>
      <w:r>
        <w:rPr>
          <w:rFonts w:ascii="仿宋_GB2312" w:eastAsia="仿宋_GB2312" w:hAnsi="仿宋_GB2312" w:cs="仿宋_GB2312" w:hint="eastAsia"/>
          <w:b w:val="0"/>
          <w:bCs w:val="0"/>
        </w:rPr>
        <w:t>(</w:t>
      </w:r>
      <w:proofErr w:type="gramStart"/>
      <w:r>
        <w:rPr>
          <w:rFonts w:ascii="仿宋_GB2312" w:eastAsia="仿宋_GB2312" w:hAnsi="仿宋_GB2312" w:cs="仿宋_GB2312" w:hint="eastAsia"/>
          <w:b w:val="0"/>
          <w:bCs w:val="0"/>
        </w:rPr>
        <w:t>发改数据</w:t>
      </w:r>
      <w:proofErr w:type="gramEnd"/>
      <w:r>
        <w:rPr>
          <w:rFonts w:ascii="仿宋_GB2312" w:eastAsia="仿宋_GB2312" w:hAnsi="仿宋_GB2312" w:cs="仿宋_GB2312" w:hint="eastAsia"/>
          <w:b w:val="0"/>
          <w:bCs w:val="0"/>
        </w:rPr>
        <w:t>〔</w:t>
      </w:r>
      <w:r>
        <w:rPr>
          <w:rFonts w:ascii="仿宋_GB2312" w:eastAsia="仿宋_GB2312" w:hAnsi="仿宋_GB2312" w:cs="仿宋_GB2312" w:hint="eastAsia"/>
          <w:b w:val="0"/>
          <w:bCs w:val="0"/>
        </w:rPr>
        <w:t>2024</w:t>
      </w:r>
      <w:r>
        <w:rPr>
          <w:rFonts w:ascii="仿宋_GB2312" w:eastAsia="仿宋_GB2312" w:hAnsi="仿宋_GB2312" w:cs="仿宋_GB2312" w:hint="eastAsia"/>
          <w:b w:val="0"/>
          <w:bCs w:val="0"/>
        </w:rPr>
        <w:t>〕</w:t>
      </w:r>
      <w:r>
        <w:rPr>
          <w:rFonts w:ascii="仿宋_GB2312" w:eastAsia="仿宋_GB2312" w:hAnsi="仿宋_GB2312" w:cs="仿宋_GB2312" w:hint="eastAsia"/>
          <w:b w:val="0"/>
          <w:bCs w:val="0"/>
        </w:rPr>
        <w:t>660</w:t>
      </w:r>
      <w:r>
        <w:rPr>
          <w:rFonts w:ascii="仿宋_GB2312" w:eastAsia="仿宋_GB2312" w:hAnsi="仿宋_GB2312" w:cs="仿宋_GB2312" w:hint="eastAsia"/>
          <w:b w:val="0"/>
          <w:bCs w:val="0"/>
        </w:rPr>
        <w:t>号</w:t>
      </w:r>
      <w:r>
        <w:rPr>
          <w:rFonts w:ascii="仿宋_GB2312" w:eastAsia="仿宋_GB2312" w:hAnsi="仿宋_GB2312" w:cs="仿宋_GB2312" w:hint="eastAsia"/>
          <w:b w:val="0"/>
          <w:bCs w:val="0"/>
        </w:rPr>
        <w:t>)</w:t>
      </w:r>
      <w:r>
        <w:rPr>
          <w:rFonts w:ascii="仿宋_GB2312" w:eastAsia="仿宋_GB2312" w:hAnsi="仿宋_GB2312" w:cs="仿宋_GB2312" w:hint="eastAsia"/>
          <w:b w:val="0"/>
          <w:bCs w:val="0"/>
        </w:rPr>
        <w:t>印发，标志着我国智慧城市建设进入深化发展的新阶段。</w:t>
      </w:r>
    </w:p>
    <w:p w14:paraId="622429B3" w14:textId="77777777" w:rsidR="007F084F" w:rsidRDefault="005A213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一是技术架构加快重塑，全方位增强城市数字</w:t>
      </w:r>
      <w:r>
        <w:rPr>
          <w:rFonts w:ascii="仿宋_GB2312" w:eastAsia="仿宋_GB2312" w:hAnsi="仿宋_GB2312" w:cs="仿宋_GB2312" w:hint="eastAsia"/>
          <w:b/>
          <w:bCs/>
          <w:sz w:val="32"/>
          <w:szCs w:val="32"/>
        </w:rPr>
        <w:t>化转型支撑</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新时期智慧城市建设，要强调以系统思维重构城市数字化底座，突破传统单点技术堆砌模式，系统化布局、</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体化推进，加速构建面向未来的城市数字底座，构建自主可控的</w:t>
      </w:r>
      <w:proofErr w:type="gramStart"/>
      <w:r>
        <w:rPr>
          <w:rFonts w:ascii="仿宋_GB2312" w:eastAsia="仿宋_GB2312" w:hAnsi="仿宋_GB2312" w:cs="仿宋_GB2312" w:hint="eastAsia"/>
          <w:sz w:val="32"/>
          <w:szCs w:val="32"/>
        </w:rPr>
        <w:t>算力基础</w:t>
      </w:r>
      <w:proofErr w:type="gramEnd"/>
      <w:r>
        <w:rPr>
          <w:rFonts w:ascii="仿宋_GB2312" w:eastAsia="仿宋_GB2312" w:hAnsi="仿宋_GB2312" w:cs="仿宋_GB2312" w:hint="eastAsia"/>
          <w:sz w:val="32"/>
          <w:szCs w:val="32"/>
        </w:rPr>
        <w:t>设施、建立跨部门数据融通体系，升级打造基于</w:t>
      </w:r>
      <w:r>
        <w:rPr>
          <w:rFonts w:ascii="仿宋_GB2312" w:eastAsia="仿宋_GB2312" w:hAnsi="仿宋_GB2312" w:cs="仿宋_GB2312" w:hint="eastAsia"/>
          <w:sz w:val="32"/>
          <w:szCs w:val="32"/>
        </w:rPr>
        <w:t>AI</w:t>
      </w:r>
      <w:r>
        <w:rPr>
          <w:rFonts w:ascii="仿宋_GB2312" w:eastAsia="仿宋_GB2312" w:hAnsi="仿宋_GB2312" w:cs="仿宋_GB2312" w:hint="eastAsia"/>
          <w:sz w:val="32"/>
          <w:szCs w:val="32"/>
        </w:rPr>
        <w:t>的一体化城市全域感知与协同决策支撑能力。</w:t>
      </w:r>
    </w:p>
    <w:p w14:paraId="461B3DBF" w14:textId="77777777" w:rsidR="007F084F" w:rsidRDefault="005A213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是制度创新不断深入，全过程优化城市数字化转型生态</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新时期智慧城市建设，要注重制度创新与技术创新相互促进，建设和运营并行推进，通过</w:t>
      </w:r>
      <w:proofErr w:type="gramStart"/>
      <w:r>
        <w:rPr>
          <w:rFonts w:ascii="仿宋_GB2312" w:eastAsia="仿宋_GB2312" w:hAnsi="仿宋_GB2312" w:cs="仿宋_GB2312" w:hint="eastAsia"/>
          <w:sz w:val="32"/>
          <w:szCs w:val="32"/>
        </w:rPr>
        <w:t>适数化</w:t>
      </w:r>
      <w:proofErr w:type="gramEnd"/>
      <w:r>
        <w:rPr>
          <w:rFonts w:ascii="仿宋_GB2312" w:eastAsia="仿宋_GB2312" w:hAnsi="仿宋_GB2312" w:cs="仿宋_GB2312" w:hint="eastAsia"/>
          <w:sz w:val="32"/>
          <w:szCs w:val="32"/>
        </w:rPr>
        <w:t>制度创新，建立与数字化发展相适应的规范体系，持续创新智慧城市运营运维模式，全过程优化城市数字化转型生态，推进流程再造、模式变革、方式重塑。</w:t>
      </w:r>
    </w:p>
    <w:p w14:paraId="1B9BC0AE" w14:textId="77777777" w:rsidR="007F084F" w:rsidRDefault="005A213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三是数据驱动持续强化，</w:t>
      </w:r>
      <w:proofErr w:type="gramStart"/>
      <w:r>
        <w:rPr>
          <w:rFonts w:ascii="仿宋_GB2312" w:eastAsia="仿宋_GB2312" w:hAnsi="仿宋_GB2312" w:cs="仿宋_GB2312" w:hint="eastAsia"/>
          <w:b/>
          <w:bCs/>
          <w:sz w:val="32"/>
          <w:szCs w:val="32"/>
        </w:rPr>
        <w:t>全领域</w:t>
      </w:r>
      <w:proofErr w:type="gramEnd"/>
      <w:r>
        <w:rPr>
          <w:rFonts w:ascii="仿宋_GB2312" w:eastAsia="仿宋_GB2312" w:hAnsi="仿宋_GB2312" w:cs="仿宋_GB2312" w:hint="eastAsia"/>
          <w:b/>
          <w:bCs/>
          <w:sz w:val="32"/>
          <w:szCs w:val="32"/>
        </w:rPr>
        <w:t>赋能城市数字化转型场景</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新时期智慧城市建设，要强调以数据融通、开发利用贯穿城市全域数字化转型建设始终，以数据驱动城市经济社会全面转型发展，打造兼顾城市治理现代化与产业体系现代化的智慧城市升级版，为产业集聚、数字经济发展提供丰富的应用场景，为数字新技术、新产品集</w:t>
      </w:r>
      <w:r>
        <w:rPr>
          <w:rFonts w:ascii="仿宋_GB2312" w:eastAsia="仿宋_GB2312" w:hAnsi="仿宋_GB2312" w:cs="仿宋_GB2312" w:hint="eastAsia"/>
          <w:sz w:val="32"/>
          <w:szCs w:val="32"/>
        </w:rPr>
        <w:t>成创新和</w:t>
      </w:r>
      <w:r>
        <w:rPr>
          <w:rFonts w:ascii="仿宋_GB2312" w:eastAsia="仿宋_GB2312" w:hAnsi="仿宋_GB2312" w:cs="仿宋_GB2312" w:hint="eastAsia"/>
          <w:sz w:val="32"/>
          <w:szCs w:val="32"/>
        </w:rPr>
        <w:lastRenderedPageBreak/>
        <w:t>应用搭建实践和推广平台。</w:t>
      </w:r>
    </w:p>
    <w:p w14:paraId="124F0D32" w14:textId="77777777" w:rsidR="007F084F" w:rsidRDefault="005A213B">
      <w:pPr>
        <w:pStyle w:val="af8"/>
        <w:spacing w:before="0" w:after="0"/>
        <w:ind w:left="720"/>
        <w:rPr>
          <w:rFonts w:ascii="楷体_GB2312" w:eastAsia="楷体_GB2312" w:hAnsi="楷体_GB2312" w:cs="楷体_GB2312"/>
        </w:rPr>
      </w:pPr>
      <w:r>
        <w:rPr>
          <w:rFonts w:ascii="楷体_GB2312" w:eastAsia="楷体_GB2312" w:hAnsi="楷体_GB2312" w:cs="楷体_GB2312" w:hint="eastAsia"/>
        </w:rPr>
        <w:t>（二）拟解决的问题</w:t>
      </w:r>
    </w:p>
    <w:p w14:paraId="264A7DE9"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智慧城市是数字中国建设的核心载体和重要内容。当前，新型智慧城市建设已成为各地提升政府治理能力和公共服务水平的重要途径。各地政府主动适应数字化时代背景，对施政理念、方式、流程、手段、工具等进行全局性、系统性、根本性重塑，通过“三融五跨”实现流程再造，提升政府治理体系和治理能力现代化的过程。智慧城市建设进入深水区，联动指挥能力已成刚需，各大核心城市都在积极推动一体化联动指挥体系的建设，但城市联动指挥仍然存在诸多疑难问题，如风险难预警、指挥难协调、决策难精准、预案难高效、场景难上线等问题。构建横向多部门协同，纵向</w:t>
      </w:r>
      <w:r>
        <w:rPr>
          <w:rFonts w:ascii="仿宋_GB2312" w:eastAsia="仿宋_GB2312" w:hAnsi="仿宋_GB2312" w:cs="仿宋_GB2312" w:hint="eastAsia"/>
          <w:sz w:val="32"/>
          <w:szCs w:val="32"/>
        </w:rPr>
        <w:t>市区街道多级联动一体化指挥体系成为各地建设目标。</w:t>
      </w:r>
    </w:p>
    <w:p w14:paraId="7186CC6C"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解决城市联动指挥的疑难问题，推动多层级的联动指挥体系建设，提高城市事件处置效率，保障城市安全，各地都进行了一系列的平台建设，还是存在技术、业务上的壁垒，无法实现跨层级的联动指挥，因此，对联动指挥的总体架构和功能进行标准化，是实现“三融五跨”的重要路径。</w:t>
      </w:r>
    </w:p>
    <w:p w14:paraId="267B9599" w14:textId="77777777" w:rsidR="007F084F" w:rsidRDefault="005A213B">
      <w:pPr>
        <w:spacing w:line="560" w:lineRule="exact"/>
        <w:ind w:firstLineChars="200" w:firstLine="640"/>
        <w:rPr>
          <w:rFonts w:ascii="仿宋_GB2312" w:eastAsia="仿宋_GB2312" w:hAnsi="仿宋_GB2312" w:cs="仿宋_GB2312"/>
          <w:position w:val="6"/>
          <w:sz w:val="32"/>
          <w:szCs w:val="32"/>
        </w:rPr>
      </w:pPr>
      <w:r>
        <w:rPr>
          <w:rFonts w:ascii="仿宋_GB2312" w:eastAsia="仿宋_GB2312" w:hAnsi="仿宋_GB2312" w:cs="仿宋_GB2312" w:hint="eastAsia"/>
          <w:sz w:val="32"/>
          <w:szCs w:val="32"/>
        </w:rPr>
        <w:t>本标准研究目标是构建跨区域跨委办局的三级联动指挥平台标准，实现横向到边（委办）、纵向到底（街道）的一体化指挥体系，实现指挥要素一图显，实时态势全感知，热点事件速预警。视频全景呈现，指挥全程可视，现场全域可</w:t>
      </w:r>
      <w:r>
        <w:rPr>
          <w:rFonts w:ascii="仿宋_GB2312" w:eastAsia="仿宋_GB2312" w:hAnsi="仿宋_GB2312" w:cs="仿宋_GB2312" w:hint="eastAsia"/>
          <w:sz w:val="32"/>
          <w:szCs w:val="32"/>
        </w:rPr>
        <w:t>见，并实现调度指令一键下达，监控画面一键上拉，媒体资源一键分享，视频会议一键发起，视频画面一键上墙的目标</w:t>
      </w:r>
      <w:r>
        <w:rPr>
          <w:rFonts w:ascii="仿宋_GB2312" w:eastAsia="仿宋_GB2312" w:hAnsi="仿宋_GB2312" w:cs="仿宋_GB2312" w:hint="eastAsia"/>
          <w:position w:val="6"/>
          <w:sz w:val="32"/>
          <w:szCs w:val="32"/>
        </w:rPr>
        <w:t>。</w:t>
      </w:r>
    </w:p>
    <w:p w14:paraId="1EBD7F5B" w14:textId="77777777" w:rsidR="007F084F" w:rsidRDefault="005A213B">
      <w:pPr>
        <w:spacing w:line="560" w:lineRule="exact"/>
        <w:ind w:firstLineChars="200" w:firstLine="640"/>
        <w:outlineLvl w:val="0"/>
        <w:rPr>
          <w:rStyle w:val="1"/>
          <w:rFonts w:ascii="黑体" w:eastAsia="黑体" w:hAnsi="黑体" w:cs="黑体"/>
          <w:bCs/>
          <w:sz w:val="32"/>
          <w:szCs w:val="32"/>
        </w:rPr>
      </w:pPr>
      <w:r>
        <w:rPr>
          <w:rStyle w:val="1"/>
          <w:rFonts w:ascii="黑体" w:eastAsia="黑体" w:hAnsi="黑体" w:cs="黑体" w:hint="eastAsia"/>
          <w:bCs/>
          <w:sz w:val="32"/>
          <w:szCs w:val="32"/>
        </w:rPr>
        <w:t>三</w:t>
      </w:r>
      <w:r>
        <w:rPr>
          <w:rStyle w:val="1"/>
          <w:rFonts w:ascii="黑体" w:eastAsia="黑体" w:hAnsi="黑体" w:cs="黑体" w:hint="eastAsia"/>
          <w:bCs/>
          <w:sz w:val="32"/>
          <w:szCs w:val="32"/>
        </w:rPr>
        <w:t>、标准编制原则和主要内容的确定</w:t>
      </w:r>
    </w:p>
    <w:p w14:paraId="1B562B5A" w14:textId="77777777" w:rsidR="007F084F" w:rsidRDefault="005A213B">
      <w:pPr>
        <w:spacing w:line="560" w:lineRule="exact"/>
        <w:ind w:firstLineChars="200" w:firstLine="640"/>
        <w:rPr>
          <w:rStyle w:val="1"/>
          <w:rFonts w:ascii="楷体_GB2312" w:eastAsia="楷体_GB2312" w:hAnsi="楷体_GB2312" w:cs="楷体_GB2312"/>
          <w:b/>
          <w:sz w:val="32"/>
          <w:szCs w:val="32"/>
        </w:rPr>
      </w:pPr>
      <w:r>
        <w:rPr>
          <w:rStyle w:val="1"/>
          <w:rFonts w:ascii="楷体_GB2312" w:eastAsia="楷体_GB2312" w:hAnsi="楷体_GB2312" w:cs="楷体_GB2312" w:hint="eastAsia"/>
          <w:b/>
          <w:sz w:val="32"/>
          <w:szCs w:val="32"/>
        </w:rPr>
        <w:lastRenderedPageBreak/>
        <w:t>（</w:t>
      </w:r>
      <w:r>
        <w:rPr>
          <w:rStyle w:val="1"/>
          <w:rFonts w:ascii="楷体_GB2312" w:eastAsia="楷体_GB2312" w:hAnsi="楷体_GB2312" w:cs="楷体_GB2312" w:hint="eastAsia"/>
          <w:b/>
          <w:sz w:val="32"/>
          <w:szCs w:val="32"/>
        </w:rPr>
        <w:t>一</w:t>
      </w:r>
      <w:r>
        <w:rPr>
          <w:rStyle w:val="1"/>
          <w:rFonts w:ascii="楷体_GB2312" w:eastAsia="楷体_GB2312" w:hAnsi="楷体_GB2312" w:cs="楷体_GB2312" w:hint="eastAsia"/>
          <w:b/>
          <w:sz w:val="32"/>
          <w:szCs w:val="32"/>
        </w:rPr>
        <w:t>）</w:t>
      </w:r>
      <w:r>
        <w:rPr>
          <w:rStyle w:val="1"/>
          <w:rFonts w:ascii="楷体_GB2312" w:eastAsia="楷体_GB2312" w:hAnsi="楷体_GB2312" w:cs="楷体_GB2312" w:hint="eastAsia"/>
          <w:b/>
          <w:sz w:val="32"/>
          <w:szCs w:val="32"/>
        </w:rPr>
        <w:t>标准编制原则</w:t>
      </w:r>
    </w:p>
    <w:p w14:paraId="6E9C427B"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本标准严格遵照</w:t>
      </w:r>
      <w:r>
        <w:rPr>
          <w:rFonts w:ascii="仿宋_GB2312" w:eastAsia="仿宋_GB2312" w:hAnsi="仿宋_GB2312" w:cs="仿宋_GB2312" w:hint="eastAsia"/>
          <w:sz w:val="32"/>
          <w:szCs w:val="32"/>
        </w:rPr>
        <w:t>GB/T 1.1-2020</w:t>
      </w:r>
      <w:r>
        <w:rPr>
          <w:rFonts w:ascii="仿宋_GB2312" w:eastAsia="仿宋_GB2312" w:hAnsi="仿宋_GB2312" w:cs="仿宋_GB2312" w:hint="eastAsia"/>
          <w:sz w:val="32"/>
          <w:szCs w:val="32"/>
        </w:rPr>
        <w:t>《标准化工作导则</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部分：标准化文件的结构和起草规则》的有关规定编写。</w:t>
      </w:r>
    </w:p>
    <w:p w14:paraId="43C0AAF2"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标准是指导城市多级联动指挥平台建设的具体技术依据，也是建立智慧城市相关平台质量测评标准、工程标准及应用标准的依据，对智慧城市规划与建设具有重要的基础支撑作用。本标准应与相关国家标准相一致。</w:t>
      </w:r>
      <w:r>
        <w:rPr>
          <w:rFonts w:ascii="仿宋_GB2312" w:eastAsia="仿宋_GB2312" w:hAnsi="仿宋_GB2312" w:cs="仿宋_GB2312" w:hint="eastAsia"/>
          <w:sz w:val="32"/>
          <w:szCs w:val="32"/>
        </w:rPr>
        <w:t xml:space="preserve"> </w:t>
      </w:r>
    </w:p>
    <w:p w14:paraId="5F61E8BF"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采用理论与实践相结合的工作方法，积极开展标准试点验证工作，将典型的、卓有成效的城市多级联动指挥平台建设经验固化为标准，并加强标准的应用实施，提升标准的适用性和实用性。</w:t>
      </w:r>
    </w:p>
    <w:p w14:paraId="71C76326" w14:textId="77777777" w:rsidR="007F084F" w:rsidRDefault="005A213B">
      <w:pPr>
        <w:spacing w:line="560" w:lineRule="exact"/>
        <w:ind w:firstLineChars="200" w:firstLine="640"/>
        <w:rPr>
          <w:rStyle w:val="1"/>
          <w:rFonts w:ascii="楷体_GB2312" w:eastAsia="楷体_GB2312" w:hAnsi="楷体_GB2312" w:cs="楷体_GB2312"/>
          <w:b/>
          <w:sz w:val="32"/>
          <w:szCs w:val="32"/>
        </w:rPr>
      </w:pPr>
      <w:r>
        <w:rPr>
          <w:rStyle w:val="1"/>
          <w:rFonts w:ascii="楷体_GB2312" w:eastAsia="楷体_GB2312" w:hAnsi="楷体_GB2312" w:cs="楷体_GB2312" w:hint="eastAsia"/>
          <w:b/>
          <w:sz w:val="32"/>
          <w:szCs w:val="32"/>
        </w:rPr>
        <w:t>（</w:t>
      </w:r>
      <w:r>
        <w:rPr>
          <w:rStyle w:val="1"/>
          <w:rFonts w:ascii="楷体_GB2312" w:eastAsia="楷体_GB2312" w:hAnsi="楷体_GB2312" w:cs="楷体_GB2312" w:hint="eastAsia"/>
          <w:b/>
          <w:sz w:val="32"/>
          <w:szCs w:val="32"/>
        </w:rPr>
        <w:t>二</w:t>
      </w:r>
      <w:r>
        <w:rPr>
          <w:rStyle w:val="1"/>
          <w:rFonts w:ascii="楷体_GB2312" w:eastAsia="楷体_GB2312" w:hAnsi="楷体_GB2312" w:cs="楷体_GB2312" w:hint="eastAsia"/>
          <w:b/>
          <w:sz w:val="32"/>
          <w:szCs w:val="32"/>
        </w:rPr>
        <w:t>）标准的主要内容</w:t>
      </w:r>
    </w:p>
    <w:p w14:paraId="27EE2F95"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《智慧城市</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城市多级联动指挥平台建设要求》给出了城市多级联动指挥平台建设的总体架构，并规定了平台功能要求、多级联动要求和接口要求</w:t>
      </w:r>
      <w:r>
        <w:rPr>
          <w:rFonts w:ascii="仿宋_GB2312" w:eastAsia="仿宋_GB2312" w:hAnsi="仿宋_GB2312" w:cs="仿宋_GB2312" w:hint="eastAsia"/>
          <w:sz w:val="32"/>
          <w:szCs w:val="32"/>
        </w:rPr>
        <w:t>。</w:t>
      </w:r>
    </w:p>
    <w:p w14:paraId="610E2086"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本文件适用于智慧</w:t>
      </w:r>
      <w:proofErr w:type="gramStart"/>
      <w:r>
        <w:rPr>
          <w:rFonts w:ascii="仿宋_GB2312" w:eastAsia="仿宋_GB2312" w:hAnsi="仿宋_GB2312" w:cs="仿宋_GB2312" w:hint="eastAsia"/>
          <w:sz w:val="32"/>
          <w:szCs w:val="32"/>
        </w:rPr>
        <w:t>城市城市</w:t>
      </w:r>
      <w:proofErr w:type="gramEnd"/>
      <w:r>
        <w:rPr>
          <w:rFonts w:ascii="仿宋_GB2312" w:eastAsia="仿宋_GB2312" w:hAnsi="仿宋_GB2312" w:cs="仿宋_GB2312" w:hint="eastAsia"/>
          <w:sz w:val="32"/>
          <w:szCs w:val="32"/>
        </w:rPr>
        <w:t>多级联动指挥平台的规划、设计、建设和运维。</w:t>
      </w:r>
    </w:p>
    <w:p w14:paraId="088F50DD" w14:textId="77777777" w:rsidR="007F084F" w:rsidRDefault="005A213B">
      <w:pPr>
        <w:spacing w:line="360" w:lineRule="auto"/>
        <w:ind w:firstLineChars="200" w:firstLine="640"/>
        <w:rPr>
          <w:rStyle w:val="1"/>
          <w:rFonts w:ascii="黑体" w:eastAsia="黑体" w:hAnsi="黑体" w:cs="黑体"/>
          <w:bCs/>
          <w:sz w:val="32"/>
          <w:szCs w:val="32"/>
        </w:rPr>
      </w:pPr>
      <w:r>
        <w:rPr>
          <w:rStyle w:val="1"/>
          <w:rFonts w:ascii="黑体" w:eastAsia="黑体" w:hAnsi="黑体" w:cs="黑体" w:hint="eastAsia"/>
          <w:bCs/>
          <w:sz w:val="32"/>
          <w:szCs w:val="32"/>
        </w:rPr>
        <w:t>四</w:t>
      </w:r>
      <w:r>
        <w:rPr>
          <w:rStyle w:val="1"/>
          <w:rFonts w:ascii="黑体" w:eastAsia="黑体" w:hAnsi="黑体" w:cs="黑体" w:hint="eastAsia"/>
          <w:bCs/>
          <w:sz w:val="32"/>
          <w:szCs w:val="32"/>
        </w:rPr>
        <w:t>、主要试验或验证情况的分析</w:t>
      </w:r>
    </w:p>
    <w:p w14:paraId="7510E4EC"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该标准在研制过程中，充分借鉴参考了相关城市多级联动指挥平台建设的实践经验，并吸纳了相关平台建设的相关方参与研制。</w:t>
      </w:r>
    </w:p>
    <w:p w14:paraId="753FBCA3"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在标准研制过程中，同步面向南京、武汉等地区开展了标准内容的调研、验证与分析工作，及时对标准内容进行完善。</w:t>
      </w:r>
    </w:p>
    <w:p w14:paraId="6D6776B4" w14:textId="77777777" w:rsidR="007F084F" w:rsidRDefault="005A213B">
      <w:pPr>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Pr>
          <w:rFonts w:ascii="黑体" w:eastAsia="黑体" w:hAnsi="黑体" w:cs="Times New Roman" w:hint="eastAsia"/>
          <w:sz w:val="32"/>
          <w:szCs w:val="32"/>
        </w:rPr>
        <w:t>、标准在粤港澳三地调研、研讨、征求意见及邀请三地专家审定的情况</w:t>
      </w:r>
    </w:p>
    <w:p w14:paraId="388E90B0" w14:textId="77777777" w:rsidR="007F084F" w:rsidRDefault="005A213B">
      <w:pPr>
        <w:pStyle w:val="20"/>
        <w:spacing w:after="0" w:line="56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标准起草组织工作由深圳市标准技术研究院牵头负责，确立本标</w:t>
      </w:r>
      <w:r>
        <w:rPr>
          <w:rFonts w:ascii="仿宋_GB2312" w:eastAsia="仿宋_GB2312" w:hAnsi="仿宋_GB2312" w:cs="仿宋_GB2312" w:hint="eastAsia"/>
          <w:sz w:val="32"/>
          <w:szCs w:val="32"/>
        </w:rPr>
        <w:lastRenderedPageBreak/>
        <w:t>准的制定任务后，起草组制定了详细的项目实施计划，并明确了各个阶段的任务、目标、输出产物及时间进度要求。起草组开展了认真细致的资料收集、调查研究和标准编写工作，标准草案经过多次研讨和修改完善。在调研、起草、研讨、征求意见、技术审查等各个阶段，均组织三地起草专家进行讨论，对标准内容、标准修改、意见处理等逐一确认，达成一致意见。</w:t>
      </w:r>
    </w:p>
    <w:p w14:paraId="16C02661" w14:textId="77777777" w:rsidR="007F084F" w:rsidRDefault="005A213B">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标准草案预研及参编单位征集</w:t>
      </w:r>
    </w:p>
    <w:p w14:paraId="6224673C"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标准编制组于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月启动标准草案研究与细化工作，明确了《智慧城市</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城市多级联动指挥平</w:t>
      </w:r>
      <w:r>
        <w:rPr>
          <w:rFonts w:ascii="仿宋_GB2312" w:eastAsia="仿宋_GB2312" w:hAnsi="仿宋_GB2312" w:cs="仿宋_GB2312" w:hint="eastAsia"/>
          <w:sz w:val="32"/>
          <w:szCs w:val="32"/>
        </w:rPr>
        <w:t>台建设要求》的标准框架以及各部分编制目标和重点，并在智慧城市产业生态圈</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数字城市产业生态联盟</w:t>
      </w:r>
      <w:r>
        <w:rPr>
          <w:rFonts w:ascii="仿宋_GB2312" w:eastAsia="仿宋_GB2312" w:hAnsi="仿宋_GB2312" w:cs="仿宋_GB2312" w:hint="eastAsia"/>
          <w:sz w:val="32"/>
          <w:szCs w:val="32"/>
        </w:rPr>
        <w:t>征集标准参编单位。</w:t>
      </w:r>
    </w:p>
    <w:p w14:paraId="538401DA" w14:textId="77777777" w:rsidR="007F084F" w:rsidRDefault="005A213B">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）标准编制启动会及第一次研讨会</w:t>
      </w:r>
    </w:p>
    <w:p w14:paraId="279B4BD2"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标准编制组于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日以网络会议形式召开了启动会及第一次讨论会。会议由秘书处主持，编制组就《智慧城市</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城市多级联动指挥平台建设要求》的框架、内容及后续工作计划、任务分工等进行深入讨论。</w:t>
      </w:r>
    </w:p>
    <w:p w14:paraId="3D2601D5" w14:textId="77777777" w:rsidR="007F084F" w:rsidRDefault="005A213B">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rPr>
        <w:t>）第二次召开标准研讨会</w:t>
      </w:r>
    </w:p>
    <w:p w14:paraId="1C617B43"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按照项目进度，标准编制组于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日以网络会议形式召开了第二次讨论会。编制组根据《智慧城市</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城市多级联动指挥平台建设要求》的内的技术内容细节进行深入讨论，后经牵头单位修改后形成征求意见稿。</w:t>
      </w:r>
    </w:p>
    <w:p w14:paraId="12A958D5" w14:textId="77777777" w:rsidR="007F084F" w:rsidRDefault="005A213B">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四</w:t>
      </w:r>
      <w:r>
        <w:rPr>
          <w:rFonts w:ascii="楷体_GB2312" w:eastAsia="楷体_GB2312" w:hAnsi="楷体_GB2312" w:cs="楷体_GB2312" w:hint="eastAsia"/>
          <w:b/>
          <w:bCs/>
          <w:sz w:val="32"/>
          <w:szCs w:val="32"/>
        </w:rPr>
        <w:t>）形成标准征求意见稿</w:t>
      </w:r>
    </w:p>
    <w:p w14:paraId="1CD7CFCD" w14:textId="77777777" w:rsidR="007F084F" w:rsidRDefault="005A213B">
      <w:pPr>
        <w:spacing w:line="560" w:lineRule="exact"/>
        <w:ind w:firstLineChars="200" w:firstLine="640"/>
        <w:rPr>
          <w:rFonts w:ascii="Times New Roman" w:hAnsi="Times New Roman" w:cs="Times New Roman"/>
          <w:sz w:val="24"/>
        </w:rPr>
      </w:pPr>
      <w:r>
        <w:rPr>
          <w:rFonts w:ascii="仿宋_GB2312" w:eastAsia="仿宋_GB2312" w:hAnsi="仿宋_GB2312" w:cs="仿宋_GB2312" w:hint="eastAsia"/>
          <w:kern w:val="0"/>
          <w:sz w:val="32"/>
          <w:szCs w:val="32"/>
        </w:rPr>
        <w:t>2025</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-2025</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15</w:t>
      </w:r>
      <w:r>
        <w:rPr>
          <w:rFonts w:ascii="仿宋_GB2312" w:eastAsia="仿宋_GB2312" w:hAnsi="仿宋_GB2312" w:cs="仿宋_GB2312" w:hint="eastAsia"/>
          <w:kern w:val="0"/>
          <w:sz w:val="32"/>
          <w:szCs w:val="32"/>
        </w:rPr>
        <w:t>日，由智慧城市产业生态圈、数字城市产业生态联盟、深圳市物联网产业协会分别在</w:t>
      </w:r>
      <w:proofErr w:type="gramStart"/>
      <w:r>
        <w:rPr>
          <w:rFonts w:ascii="仿宋_GB2312" w:eastAsia="仿宋_GB2312" w:hAnsi="仿宋_GB2312" w:cs="仿宋_GB2312" w:hint="eastAsia"/>
          <w:kern w:val="0"/>
          <w:sz w:val="32"/>
          <w:szCs w:val="32"/>
        </w:rPr>
        <w:t>微信公众号</w:t>
      </w:r>
      <w:proofErr w:type="gramEnd"/>
      <w:r>
        <w:rPr>
          <w:rFonts w:ascii="仿宋_GB2312" w:eastAsia="仿宋_GB2312" w:hAnsi="仿宋_GB2312" w:cs="仿宋_GB2312" w:hint="eastAsia"/>
          <w:kern w:val="0"/>
          <w:sz w:val="32"/>
          <w:szCs w:val="32"/>
        </w:rPr>
        <w:t>、协</w:t>
      </w:r>
      <w:r>
        <w:rPr>
          <w:rFonts w:ascii="仿宋_GB2312" w:eastAsia="仿宋_GB2312" w:hAnsi="仿宋_GB2312" w:cs="仿宋_GB2312" w:hint="eastAsia"/>
          <w:kern w:val="0"/>
          <w:sz w:val="32"/>
          <w:szCs w:val="32"/>
        </w:rPr>
        <w:lastRenderedPageBreak/>
        <w:t>会官网、全国团体标准信息平台公开征集意见。共收到意见</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条。</w:t>
      </w:r>
    </w:p>
    <w:p w14:paraId="19C05417" w14:textId="77777777" w:rsidR="007F084F" w:rsidRDefault="005A213B">
      <w:pPr>
        <w:adjustRightIn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七</w:t>
      </w:r>
      <w:r>
        <w:rPr>
          <w:rFonts w:ascii="黑体" w:eastAsia="黑体" w:hAnsi="黑体" w:cs="黑体" w:hint="eastAsia"/>
          <w:bCs/>
          <w:sz w:val="32"/>
          <w:szCs w:val="32"/>
        </w:rPr>
        <w:t>、</w:t>
      </w:r>
      <w:r>
        <w:rPr>
          <w:rFonts w:ascii="黑体" w:eastAsia="黑体" w:hAnsi="黑体" w:cs="黑体" w:hint="eastAsia"/>
          <w:kern w:val="0"/>
          <w:sz w:val="32"/>
          <w:szCs w:val="32"/>
        </w:rPr>
        <w:t>重大分歧意见的处理经过和依据</w:t>
      </w:r>
    </w:p>
    <w:p w14:paraId="31FA4540" w14:textId="77777777" w:rsidR="007F084F" w:rsidRDefault="005A213B">
      <w:pPr>
        <w:adjustRightInd w:val="0"/>
        <w:spacing w:line="560" w:lineRule="exact"/>
        <w:ind w:firstLineChars="200" w:firstLine="640"/>
        <w:outlineLvl w:val="0"/>
        <w:rPr>
          <w:rFonts w:ascii="黑体" w:eastAsia="黑体" w:hAnsi="黑体" w:cs="黑体"/>
          <w:bCs/>
          <w:sz w:val="32"/>
          <w:szCs w:val="32"/>
        </w:rPr>
      </w:pPr>
      <w:r>
        <w:rPr>
          <w:rFonts w:ascii="仿宋_GB2312" w:eastAsia="仿宋_GB2312" w:hAnsi="仿宋_GB2312" w:cs="仿宋_GB2312" w:hint="eastAsia"/>
          <w:sz w:val="32"/>
          <w:szCs w:val="32"/>
        </w:rPr>
        <w:t>在征求意见过程中，未出现重大分歧意见。对于个别单位和专家提出的不</w:t>
      </w:r>
      <w:r>
        <w:rPr>
          <w:rFonts w:ascii="仿宋_GB2312" w:eastAsia="仿宋_GB2312" w:hAnsi="仿宋_GB2312" w:cs="仿宋_GB2312" w:hint="eastAsia"/>
          <w:sz w:val="32"/>
          <w:szCs w:val="32"/>
        </w:rPr>
        <w:t>同意见和建议，编制组进行了认真的研究和分析，与提出方进行了充分的沟通和交流，达成了一致意见。对于一些技术细节问题，通过进一步的试验研究和数据分析，确定了合理的解决方案，确保标准内容科学、合理、可行。</w:t>
      </w:r>
    </w:p>
    <w:p w14:paraId="4ABD7FB1" w14:textId="77777777" w:rsidR="007F084F" w:rsidRDefault="005A213B">
      <w:pPr>
        <w:adjustRightIn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八</w:t>
      </w:r>
      <w:r>
        <w:rPr>
          <w:rFonts w:ascii="黑体" w:eastAsia="黑体" w:hAnsi="黑体" w:cs="黑体" w:hint="eastAsia"/>
          <w:bCs/>
          <w:sz w:val="32"/>
          <w:szCs w:val="32"/>
        </w:rPr>
        <w:t>、</w:t>
      </w:r>
      <w:r>
        <w:rPr>
          <w:rFonts w:ascii="黑体" w:eastAsia="黑体" w:hAnsi="黑体" w:cs="黑体" w:hint="eastAsia"/>
          <w:kern w:val="0"/>
          <w:sz w:val="32"/>
          <w:szCs w:val="32"/>
        </w:rPr>
        <w:t>标准对比及采</w:t>
      </w:r>
      <w:r>
        <w:rPr>
          <w:rFonts w:ascii="黑体" w:eastAsia="黑体" w:hAnsi="黑体" w:cs="黑体" w:hint="eastAsia"/>
          <w:kern w:val="0"/>
          <w:sz w:val="32"/>
          <w:szCs w:val="32"/>
        </w:rPr>
        <w:t>标</w:t>
      </w:r>
      <w:r>
        <w:rPr>
          <w:rFonts w:ascii="黑体" w:eastAsia="黑体" w:hAnsi="黑体" w:cs="黑体" w:hint="eastAsia"/>
          <w:kern w:val="0"/>
          <w:sz w:val="32"/>
          <w:szCs w:val="32"/>
        </w:rPr>
        <w:t>情况分析</w:t>
      </w:r>
    </w:p>
    <w:p w14:paraId="0ED2A933" w14:textId="77777777" w:rsidR="007F084F" w:rsidRDefault="005A213B">
      <w:pPr>
        <w:adjustRightInd w:val="0"/>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（一）国际标准</w:t>
      </w:r>
    </w:p>
    <w:p w14:paraId="4EB04212" w14:textId="0BF8E7CF" w:rsidR="007F084F" w:rsidRPr="00D54466" w:rsidRDefault="00D54466" w:rsidP="001330D2">
      <w:pPr>
        <w:adjustRightInd w:val="0"/>
        <w:spacing w:line="560" w:lineRule="exact"/>
        <w:ind w:firstLineChars="200" w:firstLine="640"/>
        <w:rPr>
          <w:rFonts w:ascii="仿宋_GB2312" w:eastAsia="仿宋_GB2312" w:hAnsi="仿宋_GB2312" w:cs="仿宋_GB2312"/>
          <w:sz w:val="32"/>
          <w:szCs w:val="32"/>
        </w:rPr>
      </w:pPr>
      <w:r w:rsidRPr="00D54466">
        <w:rPr>
          <w:rFonts w:ascii="仿宋_GB2312" w:eastAsia="仿宋_GB2312" w:hAnsi="仿宋_GB2312" w:cs="仿宋_GB2312" w:hint="eastAsia"/>
          <w:sz w:val="32"/>
          <w:szCs w:val="32"/>
        </w:rPr>
        <w:t>无</w:t>
      </w:r>
    </w:p>
    <w:p w14:paraId="0AA98809" w14:textId="77777777" w:rsidR="007F084F" w:rsidRDefault="005A213B">
      <w:pPr>
        <w:adjustRightInd w:val="0"/>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（二）国家标准</w:t>
      </w:r>
    </w:p>
    <w:p w14:paraId="73905D57" w14:textId="1221E8C9" w:rsidR="007F084F" w:rsidRPr="00D54466" w:rsidRDefault="00D54466" w:rsidP="001330D2">
      <w:pPr>
        <w:adjustRightInd w:val="0"/>
        <w:spacing w:line="560" w:lineRule="exact"/>
        <w:ind w:firstLineChars="200" w:firstLine="640"/>
        <w:rPr>
          <w:rFonts w:ascii="仿宋_GB2312" w:eastAsia="仿宋_GB2312" w:hAnsi="仿宋_GB2312" w:cs="仿宋_GB2312"/>
          <w:sz w:val="32"/>
          <w:szCs w:val="32"/>
        </w:rPr>
      </w:pPr>
      <w:r w:rsidRPr="00D54466">
        <w:rPr>
          <w:rFonts w:ascii="仿宋_GB2312" w:eastAsia="仿宋_GB2312" w:hAnsi="仿宋_GB2312" w:cs="仿宋_GB2312" w:hint="eastAsia"/>
          <w:sz w:val="32"/>
          <w:szCs w:val="32"/>
        </w:rPr>
        <w:t>无</w:t>
      </w:r>
    </w:p>
    <w:p w14:paraId="3B4A6678" w14:textId="77777777" w:rsidR="007F084F" w:rsidRDefault="005A213B">
      <w:pPr>
        <w:adjustRightInd w:val="0"/>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（三）行业标准</w:t>
      </w:r>
    </w:p>
    <w:p w14:paraId="483D1D5E" w14:textId="37E931C4" w:rsidR="007F084F" w:rsidRPr="00D54466" w:rsidRDefault="00D54466" w:rsidP="001330D2">
      <w:pPr>
        <w:adjustRightInd w:val="0"/>
        <w:spacing w:line="560" w:lineRule="exact"/>
        <w:ind w:firstLineChars="200" w:firstLine="640"/>
        <w:rPr>
          <w:rFonts w:ascii="仿宋_GB2312" w:eastAsia="仿宋_GB2312" w:hAnsi="仿宋_GB2312" w:cs="仿宋_GB2312"/>
          <w:sz w:val="32"/>
          <w:szCs w:val="32"/>
        </w:rPr>
      </w:pPr>
      <w:r w:rsidRPr="00D54466">
        <w:rPr>
          <w:rFonts w:ascii="仿宋_GB2312" w:eastAsia="仿宋_GB2312" w:hAnsi="仿宋_GB2312" w:cs="仿宋_GB2312" w:hint="eastAsia"/>
          <w:sz w:val="32"/>
          <w:szCs w:val="32"/>
        </w:rPr>
        <w:t>无</w:t>
      </w:r>
    </w:p>
    <w:p w14:paraId="538A5C2A" w14:textId="77777777" w:rsidR="007F084F" w:rsidRDefault="005A213B">
      <w:pPr>
        <w:spacing w:line="560" w:lineRule="exact"/>
        <w:ind w:firstLineChars="200" w:firstLine="640"/>
        <w:jc w:val="left"/>
        <w:rPr>
          <w:rFonts w:ascii="楷体_GB2312" w:eastAsia="楷体_GB2312" w:hAnsi="楷体_GB2312" w:cs="楷体_GB2312"/>
          <w:b/>
          <w:sz w:val="32"/>
          <w:szCs w:val="32"/>
        </w:rPr>
      </w:pPr>
      <w:r>
        <w:rPr>
          <w:rFonts w:ascii="楷体_GB2312" w:eastAsia="楷体_GB2312" w:hAnsi="楷体_GB2312" w:cs="楷体_GB2312" w:hint="eastAsia"/>
          <w:b/>
          <w:sz w:val="32"/>
          <w:szCs w:val="32"/>
        </w:rPr>
        <w:t>（四）其他省同类标准</w:t>
      </w:r>
    </w:p>
    <w:p w14:paraId="7DFE9A3C" w14:textId="77777777" w:rsidR="007F084F" w:rsidRDefault="005A213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经调研，其他省份目前尚未有专门针对智慧城市多级联动指挥平台建设的标准。本标准的制定填补了这一领域的空白，在技术内容上结合粤港澳大湾区的特点，为智慧城市多级联动指挥平台建设工程提供了全面、系统且具有地方特色的技术规范，对其他地区类似工程的防雷工作具有一定的参考价值。</w:t>
      </w:r>
    </w:p>
    <w:p w14:paraId="2B6FEDFA" w14:textId="77777777" w:rsidR="007F084F" w:rsidRDefault="005A213B">
      <w:pPr>
        <w:spacing w:line="560" w:lineRule="exact"/>
        <w:ind w:firstLineChars="200" w:firstLine="640"/>
        <w:jc w:val="left"/>
        <w:rPr>
          <w:rFonts w:ascii="楷体_GB2312" w:eastAsia="楷体_GB2312" w:hAnsi="楷体_GB2312" w:cs="楷体_GB2312"/>
          <w:b/>
          <w:sz w:val="32"/>
          <w:szCs w:val="32"/>
        </w:rPr>
      </w:pPr>
      <w:r>
        <w:rPr>
          <w:rFonts w:ascii="楷体_GB2312" w:eastAsia="楷体_GB2312" w:hAnsi="楷体_GB2312" w:cs="楷体_GB2312" w:hint="eastAsia"/>
          <w:b/>
          <w:sz w:val="32"/>
          <w:szCs w:val="32"/>
        </w:rPr>
        <w:t>（五）采标情况</w:t>
      </w:r>
    </w:p>
    <w:p w14:paraId="7420A695" w14:textId="77777777" w:rsidR="007F084F" w:rsidRDefault="005A213B">
      <w:pPr>
        <w:spacing w:line="560" w:lineRule="exact"/>
        <w:ind w:firstLineChars="200" w:firstLine="640"/>
        <w:jc w:val="left"/>
        <w:rPr>
          <w:rFonts w:ascii="黑体" w:eastAsia="黑体" w:hAnsi="黑体" w:cs="黑体"/>
          <w:kern w:val="0"/>
          <w:sz w:val="32"/>
          <w:szCs w:val="32"/>
        </w:rPr>
      </w:pPr>
      <w:r>
        <w:rPr>
          <w:rFonts w:ascii="仿宋_GB2312" w:eastAsia="仿宋_GB2312" w:hAnsi="仿宋_GB2312" w:cs="仿宋_GB2312" w:hint="eastAsia"/>
          <w:sz w:val="32"/>
          <w:szCs w:val="32"/>
        </w:rPr>
        <w:t>本标准在编制过程中，充分参考了国内外相关标准的先进技术和理念，但未直接采用或引用国际国外标准。而是根据粤港澳大湾区</w:t>
      </w:r>
      <w:r>
        <w:rPr>
          <w:rFonts w:ascii="仿宋_GB2312" w:eastAsia="仿宋_GB2312" w:hAnsi="仿宋_GB2312" w:cs="仿宋_GB2312" w:hint="eastAsia"/>
          <w:sz w:val="32"/>
          <w:szCs w:val="32"/>
        </w:rPr>
        <w:t>智慧城市</w:t>
      </w:r>
      <w:r>
        <w:rPr>
          <w:rFonts w:ascii="仿宋_GB2312" w:eastAsia="仿宋_GB2312" w:hAnsi="仿宋_GB2312" w:cs="仿宋_GB2312" w:hint="eastAsia"/>
          <w:sz w:val="32"/>
          <w:szCs w:val="32"/>
        </w:rPr>
        <w:t>多级联动指挥</w:t>
      </w:r>
      <w:r>
        <w:rPr>
          <w:rFonts w:ascii="仿宋_GB2312" w:eastAsia="仿宋_GB2312" w:hAnsi="仿宋_GB2312" w:cs="仿宋_GB2312" w:hint="eastAsia"/>
          <w:sz w:val="32"/>
          <w:szCs w:val="32"/>
        </w:rPr>
        <w:t>平台建设</w:t>
      </w:r>
      <w:r>
        <w:rPr>
          <w:rFonts w:ascii="仿宋_GB2312" w:eastAsia="仿宋_GB2312" w:hAnsi="仿宋_GB2312" w:cs="仿宋_GB2312" w:hint="eastAsia"/>
          <w:sz w:val="32"/>
          <w:szCs w:val="32"/>
        </w:rPr>
        <w:t>的实际情况，进行了自主创新和优化，</w:t>
      </w:r>
      <w:r>
        <w:rPr>
          <w:rFonts w:ascii="仿宋_GB2312" w:eastAsia="仿宋_GB2312" w:hAnsi="仿宋_GB2312" w:cs="仿宋_GB2312" w:hint="eastAsia"/>
          <w:sz w:val="32"/>
          <w:szCs w:val="32"/>
        </w:rPr>
        <w:lastRenderedPageBreak/>
        <w:t>确保标准内容符合本地</w:t>
      </w:r>
      <w:r>
        <w:rPr>
          <w:rFonts w:ascii="仿宋_GB2312" w:eastAsia="仿宋_GB2312" w:hAnsi="仿宋_GB2312" w:cs="仿宋_GB2312" w:hint="eastAsia"/>
          <w:sz w:val="32"/>
          <w:szCs w:val="32"/>
        </w:rPr>
        <w:t>实际</w:t>
      </w:r>
      <w:r>
        <w:rPr>
          <w:rFonts w:ascii="仿宋_GB2312" w:eastAsia="仿宋_GB2312" w:hAnsi="仿宋_GB2312" w:cs="仿宋_GB2312" w:hint="eastAsia"/>
          <w:sz w:val="32"/>
          <w:szCs w:val="32"/>
        </w:rPr>
        <w:t>需求，具有更强的针对性和实用性</w:t>
      </w:r>
      <w:r>
        <w:rPr>
          <w:rFonts w:ascii="仿宋_GB2312" w:eastAsia="仿宋_GB2312" w:hAnsi="仿宋_GB2312" w:cs="仿宋_GB2312" w:hint="eastAsia"/>
          <w:sz w:val="32"/>
          <w:szCs w:val="32"/>
        </w:rPr>
        <w:t>。</w:t>
      </w:r>
    </w:p>
    <w:p w14:paraId="6218684F" w14:textId="77777777" w:rsidR="007F084F" w:rsidRDefault="005A213B">
      <w:pPr>
        <w:adjustRightIn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九、</w:t>
      </w:r>
      <w:r>
        <w:rPr>
          <w:rFonts w:ascii="黑体" w:eastAsia="黑体" w:hAnsi="黑体" w:cs="黑体" w:hint="eastAsia"/>
          <w:bCs/>
          <w:sz w:val="32"/>
          <w:szCs w:val="32"/>
        </w:rPr>
        <w:t>标准中涉及专利的情况</w:t>
      </w:r>
    </w:p>
    <w:p w14:paraId="390B9C74" w14:textId="77777777" w:rsidR="007F084F" w:rsidRDefault="005A213B">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该标准未涉及专利。</w:t>
      </w:r>
    </w:p>
    <w:p w14:paraId="231FC9C0" w14:textId="77777777" w:rsidR="007F084F" w:rsidRDefault="005A213B">
      <w:pPr>
        <w:adjustRightIn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十</w:t>
      </w:r>
      <w:r>
        <w:rPr>
          <w:rFonts w:ascii="黑体" w:eastAsia="黑体" w:hAnsi="黑体" w:cs="黑体" w:hint="eastAsia"/>
          <w:bCs/>
          <w:sz w:val="32"/>
          <w:szCs w:val="32"/>
        </w:rPr>
        <w:t>、预期达到的经济效益</w:t>
      </w:r>
    </w:p>
    <w:p w14:paraId="6F50291F"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推广应用方面，选取若干典型城市和地区进行应用示范和市场推广。一是选择若干城市，基于联动指挥的业务场景，通过构建三级指挥平台应用示范项目，为推广该标准落地应用开展验证。二是选取不同类型城市推广使用该标准，推动该标准在城市治理领域的不同场景的推广应用，实现智慧城市指挥业务的多部门业务协同、一体化调度联动。</w:t>
      </w:r>
    </w:p>
    <w:p w14:paraId="3F888BCD"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建设城市多级联动指挥应用示范项目，为推在预期经济效益方面，该标准发布和实施将降低相关组织和单位建设和运</w:t>
      </w:r>
      <w:proofErr w:type="gramStart"/>
      <w:r>
        <w:rPr>
          <w:rFonts w:ascii="仿宋_GB2312" w:eastAsia="仿宋_GB2312" w:hAnsi="仿宋_GB2312" w:cs="仿宋_GB2312" w:hint="eastAsia"/>
          <w:sz w:val="32"/>
          <w:szCs w:val="32"/>
        </w:rPr>
        <w:t>维城市</w:t>
      </w:r>
      <w:proofErr w:type="gramEnd"/>
      <w:r>
        <w:rPr>
          <w:rFonts w:ascii="仿宋_GB2312" w:eastAsia="仿宋_GB2312" w:hAnsi="仿宋_GB2312" w:cs="仿宋_GB2312" w:hint="eastAsia"/>
          <w:sz w:val="32"/>
          <w:szCs w:val="32"/>
        </w:rPr>
        <w:t>多级联动指挥平台建设的集成投入，推进相关平台系统、场景应用等规模化部署。</w:t>
      </w:r>
    </w:p>
    <w:p w14:paraId="638BF619" w14:textId="77777777" w:rsidR="007F084F" w:rsidRDefault="005A213B">
      <w:pPr>
        <w:adjustRightIn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十一</w:t>
      </w:r>
      <w:r>
        <w:rPr>
          <w:rFonts w:ascii="黑体" w:eastAsia="黑体" w:hAnsi="黑体" w:cs="黑体" w:hint="eastAsia"/>
          <w:bCs/>
          <w:sz w:val="32"/>
          <w:szCs w:val="32"/>
        </w:rPr>
        <w:t>、其它应予以说明的事</w:t>
      </w:r>
      <w:r>
        <w:rPr>
          <w:rFonts w:ascii="黑体" w:eastAsia="黑体" w:hAnsi="黑体" w:cs="黑体" w:hint="eastAsia"/>
          <w:bCs/>
          <w:sz w:val="32"/>
          <w:szCs w:val="32"/>
        </w:rPr>
        <w:t>项</w:t>
      </w:r>
    </w:p>
    <w:p w14:paraId="2906B402" w14:textId="77777777" w:rsidR="007F084F" w:rsidRDefault="005A213B">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14:paraId="72A7B4A5" w14:textId="77777777" w:rsidR="007F084F" w:rsidRDefault="007F084F">
      <w:pPr>
        <w:adjustRightInd w:val="0"/>
        <w:spacing w:line="360" w:lineRule="auto"/>
        <w:ind w:firstLineChars="200" w:firstLine="480"/>
        <w:rPr>
          <w:rFonts w:ascii="Times New Roman" w:eastAsia="宋体" w:hAnsi="Times New Roman" w:cs="Times New Roman"/>
          <w:sz w:val="24"/>
        </w:rPr>
      </w:pPr>
    </w:p>
    <w:p w14:paraId="3326BECD" w14:textId="77777777" w:rsidR="007F084F" w:rsidRDefault="007F084F">
      <w:pPr>
        <w:adjustRightInd w:val="0"/>
        <w:spacing w:line="360" w:lineRule="auto"/>
        <w:ind w:firstLineChars="200" w:firstLine="480"/>
        <w:rPr>
          <w:rFonts w:ascii="Times New Roman" w:eastAsia="宋体" w:hAnsi="Times New Roman" w:cs="Times New Roman"/>
          <w:sz w:val="24"/>
        </w:rPr>
      </w:pPr>
    </w:p>
    <w:p w14:paraId="06DBAD31" w14:textId="77777777" w:rsidR="007F084F" w:rsidRDefault="005A213B">
      <w:pPr>
        <w:spacing w:line="56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《智慧城市</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城市多级联动指挥平台建设要求》</w:t>
      </w:r>
    </w:p>
    <w:p w14:paraId="4E345924" w14:textId="77777777" w:rsidR="007F084F" w:rsidRDefault="005A213B">
      <w:pPr>
        <w:spacing w:line="560" w:lineRule="exact"/>
        <w:ind w:firstLineChars="2000" w:firstLine="6400"/>
        <w:rPr>
          <w:rFonts w:ascii="仿宋_GB2312" w:eastAsia="仿宋_GB2312" w:hAnsi="仿宋_GB2312" w:cs="仿宋_GB2312"/>
          <w:sz w:val="32"/>
          <w:szCs w:val="32"/>
        </w:rPr>
      </w:pPr>
      <w:r>
        <w:rPr>
          <w:rFonts w:ascii="仿宋_GB2312" w:eastAsia="仿宋_GB2312" w:hAnsi="仿宋_GB2312" w:cs="仿宋_GB2312" w:hint="eastAsia"/>
          <w:sz w:val="32"/>
          <w:szCs w:val="32"/>
        </w:rPr>
        <w:t>标准编写组</w:t>
      </w:r>
    </w:p>
    <w:p w14:paraId="4010FE59" w14:textId="77777777" w:rsidR="007F084F" w:rsidRDefault="005A213B">
      <w:pPr>
        <w:spacing w:line="560" w:lineRule="exact"/>
        <w:ind w:firstLineChars="2000" w:firstLine="6400"/>
        <w:rPr>
          <w:rFonts w:ascii="Times New Roman" w:hAnsi="Times New Roman" w:cs="Times New Roman"/>
          <w:sz w:val="24"/>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p>
    <w:sectPr w:rsidR="007F084F">
      <w:headerReference w:type="default" r:id="rId8"/>
      <w:footerReference w:type="default" r:id="rId9"/>
      <w:pgSz w:w="11906" w:h="16838"/>
      <w:pgMar w:top="1440" w:right="1077" w:bottom="851" w:left="1077"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1743E" w14:textId="77777777" w:rsidR="005A213B" w:rsidRDefault="005A213B">
      <w:r>
        <w:separator/>
      </w:r>
    </w:p>
  </w:endnote>
  <w:endnote w:type="continuationSeparator" w:id="0">
    <w:p w14:paraId="756EBABA" w14:textId="77777777" w:rsidR="005A213B" w:rsidRDefault="005A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方正仿宋简体">
    <w:altName w:val="微软雅黑"/>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C9AF" w14:textId="77777777" w:rsidR="007F084F" w:rsidRDefault="005A213B">
    <w:pPr>
      <w:pStyle w:val="af3"/>
      <w:jc w:val="center"/>
    </w:pPr>
    <w:r>
      <w:rPr>
        <w:b/>
        <w:sz w:val="24"/>
        <w:szCs w:val="24"/>
      </w:rPr>
      <w:fldChar w:fldCharType="begin"/>
    </w:r>
    <w:r>
      <w:rPr>
        <w:b/>
      </w:rPr>
      <w:instrText>PAGE</w:instrText>
    </w:r>
    <w:r>
      <w:rPr>
        <w:b/>
        <w:sz w:val="24"/>
        <w:szCs w:val="24"/>
      </w:rPr>
      <w:fldChar w:fldCharType="separate"/>
    </w:r>
    <w:r>
      <w:rPr>
        <w:b/>
      </w:rPr>
      <w:t>7</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Pr>
        <w:b/>
      </w:rPr>
      <w:t>7</w:t>
    </w:r>
    <w:r>
      <w:rPr>
        <w:b/>
        <w:sz w:val="24"/>
        <w:szCs w:val="24"/>
      </w:rPr>
      <w:fldChar w:fldCharType="end"/>
    </w:r>
  </w:p>
  <w:p w14:paraId="24D2C2E0" w14:textId="77777777" w:rsidR="007F084F" w:rsidRDefault="007F084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F496" w14:textId="77777777" w:rsidR="005A213B" w:rsidRDefault="005A213B">
      <w:r>
        <w:separator/>
      </w:r>
    </w:p>
  </w:footnote>
  <w:footnote w:type="continuationSeparator" w:id="0">
    <w:p w14:paraId="219D210D" w14:textId="77777777" w:rsidR="005A213B" w:rsidRDefault="005A2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2A2B" w14:textId="77777777" w:rsidR="007F084F" w:rsidRDefault="007F084F">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2.2.5.3.%5　"/>
      <w:lvlJc w:val="left"/>
      <w:pPr>
        <w:ind w:left="426"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2827D5B"/>
    <w:multiLevelType w:val="multilevel"/>
    <w:tmpl w:val="22827D5B"/>
    <w:lvl w:ilvl="0">
      <w:start w:val="1"/>
      <w:numFmt w:val="none"/>
      <w:pStyle w:val="a4"/>
      <w:suff w:val="nothing"/>
      <w:lvlText w:val="%1注："/>
      <w:lvlJc w:val="left"/>
      <w:pPr>
        <w:ind w:left="363"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15:restartNumberingAfterBreak="0">
    <w:nsid w:val="2A8F7113"/>
    <w:multiLevelType w:val="multilevel"/>
    <w:tmpl w:val="2A8F7113"/>
    <w:lvl w:ilvl="0">
      <w:start w:val="1"/>
      <w:numFmt w:val="upperLetter"/>
      <w:pStyle w:val="a5"/>
      <w:suff w:val="space"/>
      <w:lvlText w:val="%1"/>
      <w:lvlJc w:val="left"/>
      <w:pPr>
        <w:ind w:left="623" w:hanging="425"/>
      </w:pPr>
      <w:rPr>
        <w:rFonts w:hint="eastAsia"/>
      </w:rPr>
    </w:lvl>
    <w:lvl w:ilvl="1">
      <w:start w:val="1"/>
      <w:numFmt w:val="decimal"/>
      <w:pStyle w:val="a6"/>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FD8"/>
    <w:rsid w:val="00000200"/>
    <w:rsid w:val="0000483C"/>
    <w:rsid w:val="00004BB1"/>
    <w:rsid w:val="000066A8"/>
    <w:rsid w:val="00011051"/>
    <w:rsid w:val="00015133"/>
    <w:rsid w:val="0002495F"/>
    <w:rsid w:val="00024EB9"/>
    <w:rsid w:val="00025E89"/>
    <w:rsid w:val="00025ED3"/>
    <w:rsid w:val="00026B99"/>
    <w:rsid w:val="00030AC6"/>
    <w:rsid w:val="00034F24"/>
    <w:rsid w:val="00037B1F"/>
    <w:rsid w:val="00040775"/>
    <w:rsid w:val="0004126E"/>
    <w:rsid w:val="0004378D"/>
    <w:rsid w:val="000455B3"/>
    <w:rsid w:val="0004641F"/>
    <w:rsid w:val="000575E7"/>
    <w:rsid w:val="00060EFD"/>
    <w:rsid w:val="00064A42"/>
    <w:rsid w:val="00064AFC"/>
    <w:rsid w:val="0006647B"/>
    <w:rsid w:val="00067C1C"/>
    <w:rsid w:val="00072D10"/>
    <w:rsid w:val="0007341F"/>
    <w:rsid w:val="0007686B"/>
    <w:rsid w:val="000801A5"/>
    <w:rsid w:val="000820A7"/>
    <w:rsid w:val="00083308"/>
    <w:rsid w:val="0008503D"/>
    <w:rsid w:val="00085B39"/>
    <w:rsid w:val="00087F76"/>
    <w:rsid w:val="000946A7"/>
    <w:rsid w:val="000947A1"/>
    <w:rsid w:val="000A0C68"/>
    <w:rsid w:val="000A24B5"/>
    <w:rsid w:val="000A2BCB"/>
    <w:rsid w:val="000A2ED9"/>
    <w:rsid w:val="000A64F2"/>
    <w:rsid w:val="000B1AC9"/>
    <w:rsid w:val="000B25F9"/>
    <w:rsid w:val="000B2634"/>
    <w:rsid w:val="000B615E"/>
    <w:rsid w:val="000C070A"/>
    <w:rsid w:val="000C5EBD"/>
    <w:rsid w:val="000C618E"/>
    <w:rsid w:val="000D104D"/>
    <w:rsid w:val="000D341C"/>
    <w:rsid w:val="000D39D4"/>
    <w:rsid w:val="000D3DC7"/>
    <w:rsid w:val="000D53B5"/>
    <w:rsid w:val="000E27DC"/>
    <w:rsid w:val="000E28A7"/>
    <w:rsid w:val="000E6CBE"/>
    <w:rsid w:val="000E7B0F"/>
    <w:rsid w:val="000F3047"/>
    <w:rsid w:val="000F3F98"/>
    <w:rsid w:val="000F42DA"/>
    <w:rsid w:val="000F47C1"/>
    <w:rsid w:val="0010616E"/>
    <w:rsid w:val="0010618C"/>
    <w:rsid w:val="001165B2"/>
    <w:rsid w:val="00116D50"/>
    <w:rsid w:val="00120FF3"/>
    <w:rsid w:val="001235F9"/>
    <w:rsid w:val="001236A0"/>
    <w:rsid w:val="00123D8E"/>
    <w:rsid w:val="00124698"/>
    <w:rsid w:val="00130DE9"/>
    <w:rsid w:val="00132108"/>
    <w:rsid w:val="001330D2"/>
    <w:rsid w:val="0013368C"/>
    <w:rsid w:val="00133866"/>
    <w:rsid w:val="00135F0A"/>
    <w:rsid w:val="00136AC8"/>
    <w:rsid w:val="00141370"/>
    <w:rsid w:val="001422AC"/>
    <w:rsid w:val="00142B8F"/>
    <w:rsid w:val="00143D0F"/>
    <w:rsid w:val="001443F2"/>
    <w:rsid w:val="00147D67"/>
    <w:rsid w:val="001508D5"/>
    <w:rsid w:val="00151276"/>
    <w:rsid w:val="00152BA4"/>
    <w:rsid w:val="001628E6"/>
    <w:rsid w:val="001648DC"/>
    <w:rsid w:val="00164F0C"/>
    <w:rsid w:val="0017009C"/>
    <w:rsid w:val="00172BA7"/>
    <w:rsid w:val="0017564D"/>
    <w:rsid w:val="0018075E"/>
    <w:rsid w:val="001822BC"/>
    <w:rsid w:val="00183173"/>
    <w:rsid w:val="00186AC5"/>
    <w:rsid w:val="00186F7A"/>
    <w:rsid w:val="001978D8"/>
    <w:rsid w:val="001A02E9"/>
    <w:rsid w:val="001A3BD4"/>
    <w:rsid w:val="001A3CB5"/>
    <w:rsid w:val="001A5AD0"/>
    <w:rsid w:val="001A6160"/>
    <w:rsid w:val="001A77D7"/>
    <w:rsid w:val="001B0FDD"/>
    <w:rsid w:val="001B1E43"/>
    <w:rsid w:val="001B27BF"/>
    <w:rsid w:val="001B2A29"/>
    <w:rsid w:val="001B2E56"/>
    <w:rsid w:val="001B3583"/>
    <w:rsid w:val="001B6B6C"/>
    <w:rsid w:val="001C187B"/>
    <w:rsid w:val="001C38C5"/>
    <w:rsid w:val="001C39D1"/>
    <w:rsid w:val="001C3B5A"/>
    <w:rsid w:val="001C4383"/>
    <w:rsid w:val="001C6F1C"/>
    <w:rsid w:val="001D6BEF"/>
    <w:rsid w:val="001D742B"/>
    <w:rsid w:val="001E0642"/>
    <w:rsid w:val="001E1253"/>
    <w:rsid w:val="001E5037"/>
    <w:rsid w:val="001E50CA"/>
    <w:rsid w:val="001E6E3F"/>
    <w:rsid w:val="001E7CA9"/>
    <w:rsid w:val="001F5062"/>
    <w:rsid w:val="00201BA1"/>
    <w:rsid w:val="00202927"/>
    <w:rsid w:val="00214789"/>
    <w:rsid w:val="002222B7"/>
    <w:rsid w:val="002320F1"/>
    <w:rsid w:val="002348F8"/>
    <w:rsid w:val="00240ED7"/>
    <w:rsid w:val="002414AD"/>
    <w:rsid w:val="0024319C"/>
    <w:rsid w:val="00246EA6"/>
    <w:rsid w:val="00253AB1"/>
    <w:rsid w:val="002548D4"/>
    <w:rsid w:val="0025671C"/>
    <w:rsid w:val="00256ABD"/>
    <w:rsid w:val="00257D97"/>
    <w:rsid w:val="00261FB9"/>
    <w:rsid w:val="00261FD9"/>
    <w:rsid w:val="002651FB"/>
    <w:rsid w:val="00272A50"/>
    <w:rsid w:val="002733EB"/>
    <w:rsid w:val="00283493"/>
    <w:rsid w:val="0028490B"/>
    <w:rsid w:val="00285DC6"/>
    <w:rsid w:val="00290834"/>
    <w:rsid w:val="00290D03"/>
    <w:rsid w:val="0029174B"/>
    <w:rsid w:val="00295AFB"/>
    <w:rsid w:val="002A0185"/>
    <w:rsid w:val="002A6A5C"/>
    <w:rsid w:val="002A6C91"/>
    <w:rsid w:val="002A7EFC"/>
    <w:rsid w:val="002B1397"/>
    <w:rsid w:val="002B1950"/>
    <w:rsid w:val="002B62C3"/>
    <w:rsid w:val="002B664A"/>
    <w:rsid w:val="002B7B66"/>
    <w:rsid w:val="002C06A1"/>
    <w:rsid w:val="002C384F"/>
    <w:rsid w:val="002D1142"/>
    <w:rsid w:val="002D2062"/>
    <w:rsid w:val="002E060F"/>
    <w:rsid w:val="002E1490"/>
    <w:rsid w:val="002E2A83"/>
    <w:rsid w:val="002E41C6"/>
    <w:rsid w:val="002F0561"/>
    <w:rsid w:val="002F079F"/>
    <w:rsid w:val="002F0B1C"/>
    <w:rsid w:val="00303375"/>
    <w:rsid w:val="00306789"/>
    <w:rsid w:val="003070F1"/>
    <w:rsid w:val="003202D0"/>
    <w:rsid w:val="00325738"/>
    <w:rsid w:val="00326E2C"/>
    <w:rsid w:val="003279E5"/>
    <w:rsid w:val="00327FBC"/>
    <w:rsid w:val="00330864"/>
    <w:rsid w:val="00332FBA"/>
    <w:rsid w:val="003330EB"/>
    <w:rsid w:val="003342E9"/>
    <w:rsid w:val="003376EE"/>
    <w:rsid w:val="00347F25"/>
    <w:rsid w:val="0035145F"/>
    <w:rsid w:val="00352C46"/>
    <w:rsid w:val="00357340"/>
    <w:rsid w:val="00362AA8"/>
    <w:rsid w:val="00366F63"/>
    <w:rsid w:val="00367F1F"/>
    <w:rsid w:val="00370DD1"/>
    <w:rsid w:val="00371A9A"/>
    <w:rsid w:val="003739D4"/>
    <w:rsid w:val="00373AB1"/>
    <w:rsid w:val="0037507C"/>
    <w:rsid w:val="00375FA5"/>
    <w:rsid w:val="003765DC"/>
    <w:rsid w:val="003818B2"/>
    <w:rsid w:val="003904B8"/>
    <w:rsid w:val="0039261E"/>
    <w:rsid w:val="0039356E"/>
    <w:rsid w:val="00395988"/>
    <w:rsid w:val="00395BA6"/>
    <w:rsid w:val="003975E4"/>
    <w:rsid w:val="003A63C9"/>
    <w:rsid w:val="003B29CB"/>
    <w:rsid w:val="003B2D13"/>
    <w:rsid w:val="003B2F69"/>
    <w:rsid w:val="003B365F"/>
    <w:rsid w:val="003B52B5"/>
    <w:rsid w:val="003C0AA4"/>
    <w:rsid w:val="003C3398"/>
    <w:rsid w:val="003C5628"/>
    <w:rsid w:val="003D11F0"/>
    <w:rsid w:val="003D2A5F"/>
    <w:rsid w:val="003D2D08"/>
    <w:rsid w:val="003D4011"/>
    <w:rsid w:val="003D4214"/>
    <w:rsid w:val="003D57DD"/>
    <w:rsid w:val="003D58AD"/>
    <w:rsid w:val="003E0FF7"/>
    <w:rsid w:val="003E496D"/>
    <w:rsid w:val="003F2C97"/>
    <w:rsid w:val="00400025"/>
    <w:rsid w:val="00401357"/>
    <w:rsid w:val="00406061"/>
    <w:rsid w:val="00411CAE"/>
    <w:rsid w:val="00411E47"/>
    <w:rsid w:val="00412DBA"/>
    <w:rsid w:val="004145FC"/>
    <w:rsid w:val="00416CF5"/>
    <w:rsid w:val="0042094E"/>
    <w:rsid w:val="004211AD"/>
    <w:rsid w:val="004270E1"/>
    <w:rsid w:val="004272AD"/>
    <w:rsid w:val="00431F52"/>
    <w:rsid w:val="00432C4D"/>
    <w:rsid w:val="00432EA0"/>
    <w:rsid w:val="004371DE"/>
    <w:rsid w:val="00445AD7"/>
    <w:rsid w:val="004461FB"/>
    <w:rsid w:val="00446205"/>
    <w:rsid w:val="0044637E"/>
    <w:rsid w:val="004501A4"/>
    <w:rsid w:val="00450924"/>
    <w:rsid w:val="00452FA5"/>
    <w:rsid w:val="004556C9"/>
    <w:rsid w:val="00457054"/>
    <w:rsid w:val="00457276"/>
    <w:rsid w:val="004602FF"/>
    <w:rsid w:val="004611F2"/>
    <w:rsid w:val="00462BF4"/>
    <w:rsid w:val="00462CF7"/>
    <w:rsid w:val="00474956"/>
    <w:rsid w:val="0048048C"/>
    <w:rsid w:val="004814E2"/>
    <w:rsid w:val="004865A0"/>
    <w:rsid w:val="00492BEB"/>
    <w:rsid w:val="00494BFF"/>
    <w:rsid w:val="004955DD"/>
    <w:rsid w:val="0049636F"/>
    <w:rsid w:val="004A2789"/>
    <w:rsid w:val="004A3751"/>
    <w:rsid w:val="004B44B4"/>
    <w:rsid w:val="004B4FCA"/>
    <w:rsid w:val="004B7362"/>
    <w:rsid w:val="004C5288"/>
    <w:rsid w:val="004C5E9B"/>
    <w:rsid w:val="004C7803"/>
    <w:rsid w:val="004D5F9A"/>
    <w:rsid w:val="004E020C"/>
    <w:rsid w:val="004E0963"/>
    <w:rsid w:val="004E1504"/>
    <w:rsid w:val="004E2EE3"/>
    <w:rsid w:val="004E6393"/>
    <w:rsid w:val="004F5053"/>
    <w:rsid w:val="005006FB"/>
    <w:rsid w:val="005038A4"/>
    <w:rsid w:val="00504A60"/>
    <w:rsid w:val="00506DC1"/>
    <w:rsid w:val="005106CF"/>
    <w:rsid w:val="00511A43"/>
    <w:rsid w:val="005203DA"/>
    <w:rsid w:val="00521AA9"/>
    <w:rsid w:val="005224C4"/>
    <w:rsid w:val="005306BA"/>
    <w:rsid w:val="00532083"/>
    <w:rsid w:val="00534795"/>
    <w:rsid w:val="00536423"/>
    <w:rsid w:val="00541EDE"/>
    <w:rsid w:val="005464D1"/>
    <w:rsid w:val="005467A3"/>
    <w:rsid w:val="00551BA4"/>
    <w:rsid w:val="00563DC6"/>
    <w:rsid w:val="005703D7"/>
    <w:rsid w:val="00571515"/>
    <w:rsid w:val="00573DC9"/>
    <w:rsid w:val="00573E1A"/>
    <w:rsid w:val="00581668"/>
    <w:rsid w:val="00587CF9"/>
    <w:rsid w:val="00592E86"/>
    <w:rsid w:val="00593803"/>
    <w:rsid w:val="00597021"/>
    <w:rsid w:val="005A213B"/>
    <w:rsid w:val="005A5374"/>
    <w:rsid w:val="005A5E7D"/>
    <w:rsid w:val="005B463E"/>
    <w:rsid w:val="005B5F80"/>
    <w:rsid w:val="005B6CE5"/>
    <w:rsid w:val="005B7E83"/>
    <w:rsid w:val="005C00A6"/>
    <w:rsid w:val="005C0486"/>
    <w:rsid w:val="005C06DF"/>
    <w:rsid w:val="005C7A88"/>
    <w:rsid w:val="005D0838"/>
    <w:rsid w:val="005D2740"/>
    <w:rsid w:val="005E4A7E"/>
    <w:rsid w:val="005E775E"/>
    <w:rsid w:val="005E7B95"/>
    <w:rsid w:val="005F07F4"/>
    <w:rsid w:val="005F2EDE"/>
    <w:rsid w:val="005F7688"/>
    <w:rsid w:val="00602CAE"/>
    <w:rsid w:val="006055AF"/>
    <w:rsid w:val="006065D0"/>
    <w:rsid w:val="00606895"/>
    <w:rsid w:val="00612358"/>
    <w:rsid w:val="00615371"/>
    <w:rsid w:val="00623EC6"/>
    <w:rsid w:val="00625D0A"/>
    <w:rsid w:val="00630C70"/>
    <w:rsid w:val="006323D5"/>
    <w:rsid w:val="00632E80"/>
    <w:rsid w:val="00634BBA"/>
    <w:rsid w:val="00636BC6"/>
    <w:rsid w:val="006370BB"/>
    <w:rsid w:val="00637E37"/>
    <w:rsid w:val="00642DCD"/>
    <w:rsid w:val="00643B04"/>
    <w:rsid w:val="00646BB3"/>
    <w:rsid w:val="00646C28"/>
    <w:rsid w:val="006508A5"/>
    <w:rsid w:val="00656727"/>
    <w:rsid w:val="00657BAB"/>
    <w:rsid w:val="006634F3"/>
    <w:rsid w:val="00665804"/>
    <w:rsid w:val="00672341"/>
    <w:rsid w:val="00674F80"/>
    <w:rsid w:val="0068245B"/>
    <w:rsid w:val="006828C9"/>
    <w:rsid w:val="006830E5"/>
    <w:rsid w:val="00684D10"/>
    <w:rsid w:val="006874F4"/>
    <w:rsid w:val="0068771C"/>
    <w:rsid w:val="00691D9D"/>
    <w:rsid w:val="00691DF5"/>
    <w:rsid w:val="006A300C"/>
    <w:rsid w:val="006A4FD7"/>
    <w:rsid w:val="006B3A9F"/>
    <w:rsid w:val="006B7C2A"/>
    <w:rsid w:val="006C69EC"/>
    <w:rsid w:val="006D2B41"/>
    <w:rsid w:val="006D3A32"/>
    <w:rsid w:val="006D427D"/>
    <w:rsid w:val="006D5544"/>
    <w:rsid w:val="006D6B26"/>
    <w:rsid w:val="006D6C94"/>
    <w:rsid w:val="006D7289"/>
    <w:rsid w:val="006E159A"/>
    <w:rsid w:val="006E2EA8"/>
    <w:rsid w:val="006E3634"/>
    <w:rsid w:val="006E4580"/>
    <w:rsid w:val="006F1F79"/>
    <w:rsid w:val="006F350A"/>
    <w:rsid w:val="006F7156"/>
    <w:rsid w:val="00702337"/>
    <w:rsid w:val="007035FE"/>
    <w:rsid w:val="007046A7"/>
    <w:rsid w:val="00704887"/>
    <w:rsid w:val="007051B5"/>
    <w:rsid w:val="007056D6"/>
    <w:rsid w:val="00715280"/>
    <w:rsid w:val="00715297"/>
    <w:rsid w:val="00715444"/>
    <w:rsid w:val="007230C8"/>
    <w:rsid w:val="0072378B"/>
    <w:rsid w:val="007247E0"/>
    <w:rsid w:val="007247F7"/>
    <w:rsid w:val="00730A13"/>
    <w:rsid w:val="007323EA"/>
    <w:rsid w:val="00733558"/>
    <w:rsid w:val="00734624"/>
    <w:rsid w:val="00734682"/>
    <w:rsid w:val="007364AB"/>
    <w:rsid w:val="0073690B"/>
    <w:rsid w:val="007426D7"/>
    <w:rsid w:val="00743464"/>
    <w:rsid w:val="007456E7"/>
    <w:rsid w:val="007471AF"/>
    <w:rsid w:val="007477DA"/>
    <w:rsid w:val="00753D29"/>
    <w:rsid w:val="00754539"/>
    <w:rsid w:val="00756789"/>
    <w:rsid w:val="00760EE0"/>
    <w:rsid w:val="0076654F"/>
    <w:rsid w:val="0078022A"/>
    <w:rsid w:val="00780E1F"/>
    <w:rsid w:val="007818F9"/>
    <w:rsid w:val="00785DB6"/>
    <w:rsid w:val="00790F0B"/>
    <w:rsid w:val="007921AC"/>
    <w:rsid w:val="00794690"/>
    <w:rsid w:val="0079518F"/>
    <w:rsid w:val="00795405"/>
    <w:rsid w:val="00795444"/>
    <w:rsid w:val="0079786B"/>
    <w:rsid w:val="007A22CE"/>
    <w:rsid w:val="007A4FF0"/>
    <w:rsid w:val="007A5950"/>
    <w:rsid w:val="007B22FA"/>
    <w:rsid w:val="007B5131"/>
    <w:rsid w:val="007B6183"/>
    <w:rsid w:val="007B73A3"/>
    <w:rsid w:val="007C06D5"/>
    <w:rsid w:val="007C082F"/>
    <w:rsid w:val="007C19DA"/>
    <w:rsid w:val="007C397C"/>
    <w:rsid w:val="007C54DA"/>
    <w:rsid w:val="007C74C2"/>
    <w:rsid w:val="007D27B6"/>
    <w:rsid w:val="007D49CC"/>
    <w:rsid w:val="007D5C2F"/>
    <w:rsid w:val="007D60B7"/>
    <w:rsid w:val="007D663E"/>
    <w:rsid w:val="007D6C3B"/>
    <w:rsid w:val="007E1811"/>
    <w:rsid w:val="007E1B84"/>
    <w:rsid w:val="007E6B15"/>
    <w:rsid w:val="007F084F"/>
    <w:rsid w:val="007F09D3"/>
    <w:rsid w:val="007F7E6A"/>
    <w:rsid w:val="00800885"/>
    <w:rsid w:val="0080151C"/>
    <w:rsid w:val="0080323B"/>
    <w:rsid w:val="008149DA"/>
    <w:rsid w:val="00815851"/>
    <w:rsid w:val="008173F4"/>
    <w:rsid w:val="00825114"/>
    <w:rsid w:val="00827875"/>
    <w:rsid w:val="00836234"/>
    <w:rsid w:val="00836A3B"/>
    <w:rsid w:val="00837C7C"/>
    <w:rsid w:val="008428B9"/>
    <w:rsid w:val="00843E0E"/>
    <w:rsid w:val="008441D9"/>
    <w:rsid w:val="00845F98"/>
    <w:rsid w:val="00847771"/>
    <w:rsid w:val="0084781E"/>
    <w:rsid w:val="008565F8"/>
    <w:rsid w:val="008618E7"/>
    <w:rsid w:val="00867576"/>
    <w:rsid w:val="008711B0"/>
    <w:rsid w:val="008749DF"/>
    <w:rsid w:val="00876586"/>
    <w:rsid w:val="00892061"/>
    <w:rsid w:val="0089210F"/>
    <w:rsid w:val="00896828"/>
    <w:rsid w:val="00897D78"/>
    <w:rsid w:val="008A0626"/>
    <w:rsid w:val="008A1301"/>
    <w:rsid w:val="008A2CD6"/>
    <w:rsid w:val="008A52EC"/>
    <w:rsid w:val="008A5A2B"/>
    <w:rsid w:val="008B0161"/>
    <w:rsid w:val="008B2BE1"/>
    <w:rsid w:val="008B36C4"/>
    <w:rsid w:val="008C14BC"/>
    <w:rsid w:val="008C32A8"/>
    <w:rsid w:val="008C3F24"/>
    <w:rsid w:val="008C440B"/>
    <w:rsid w:val="008C4D13"/>
    <w:rsid w:val="008C5A1A"/>
    <w:rsid w:val="008C6CB7"/>
    <w:rsid w:val="008C72DC"/>
    <w:rsid w:val="008C7BB7"/>
    <w:rsid w:val="008D0DD7"/>
    <w:rsid w:val="008D1EF8"/>
    <w:rsid w:val="008D2CED"/>
    <w:rsid w:val="008D6CD4"/>
    <w:rsid w:val="008E11EA"/>
    <w:rsid w:val="008E2C42"/>
    <w:rsid w:val="008E35D7"/>
    <w:rsid w:val="008E4883"/>
    <w:rsid w:val="008E4E26"/>
    <w:rsid w:val="008E50DA"/>
    <w:rsid w:val="008E641E"/>
    <w:rsid w:val="008E6D2E"/>
    <w:rsid w:val="008E6E9B"/>
    <w:rsid w:val="008E6F02"/>
    <w:rsid w:val="008E7663"/>
    <w:rsid w:val="008F3A8F"/>
    <w:rsid w:val="008F6A2D"/>
    <w:rsid w:val="008F6BA1"/>
    <w:rsid w:val="008F7173"/>
    <w:rsid w:val="008F71B5"/>
    <w:rsid w:val="008F7E0B"/>
    <w:rsid w:val="00901B2A"/>
    <w:rsid w:val="00903318"/>
    <w:rsid w:val="00904E1D"/>
    <w:rsid w:val="00906020"/>
    <w:rsid w:val="0091283B"/>
    <w:rsid w:val="00912C95"/>
    <w:rsid w:val="0091734B"/>
    <w:rsid w:val="00917812"/>
    <w:rsid w:val="0092745A"/>
    <w:rsid w:val="009351AE"/>
    <w:rsid w:val="0093713A"/>
    <w:rsid w:val="0094090E"/>
    <w:rsid w:val="009433C0"/>
    <w:rsid w:val="009456E9"/>
    <w:rsid w:val="00945EC1"/>
    <w:rsid w:val="00947240"/>
    <w:rsid w:val="009475AE"/>
    <w:rsid w:val="009500B9"/>
    <w:rsid w:val="00950CB9"/>
    <w:rsid w:val="00954457"/>
    <w:rsid w:val="00954EAD"/>
    <w:rsid w:val="00960394"/>
    <w:rsid w:val="00962E30"/>
    <w:rsid w:val="009730AF"/>
    <w:rsid w:val="00973448"/>
    <w:rsid w:val="009747C9"/>
    <w:rsid w:val="00982960"/>
    <w:rsid w:val="009904F9"/>
    <w:rsid w:val="00992D34"/>
    <w:rsid w:val="009978C3"/>
    <w:rsid w:val="009A02CD"/>
    <w:rsid w:val="009A1BBE"/>
    <w:rsid w:val="009A32BD"/>
    <w:rsid w:val="009A6885"/>
    <w:rsid w:val="009B58A7"/>
    <w:rsid w:val="009C0C66"/>
    <w:rsid w:val="009C5A34"/>
    <w:rsid w:val="009C65E1"/>
    <w:rsid w:val="009D1CE0"/>
    <w:rsid w:val="009D639E"/>
    <w:rsid w:val="009E0140"/>
    <w:rsid w:val="009E196D"/>
    <w:rsid w:val="009E2925"/>
    <w:rsid w:val="009E5032"/>
    <w:rsid w:val="009E5CAC"/>
    <w:rsid w:val="009F09EA"/>
    <w:rsid w:val="009F1B5A"/>
    <w:rsid w:val="009F1B9C"/>
    <w:rsid w:val="009F4359"/>
    <w:rsid w:val="00A0752B"/>
    <w:rsid w:val="00A106CA"/>
    <w:rsid w:val="00A14418"/>
    <w:rsid w:val="00A169B5"/>
    <w:rsid w:val="00A171D7"/>
    <w:rsid w:val="00A17397"/>
    <w:rsid w:val="00A22A97"/>
    <w:rsid w:val="00A24363"/>
    <w:rsid w:val="00A27DCD"/>
    <w:rsid w:val="00A333EB"/>
    <w:rsid w:val="00A36436"/>
    <w:rsid w:val="00A37B64"/>
    <w:rsid w:val="00A438F2"/>
    <w:rsid w:val="00A47ACB"/>
    <w:rsid w:val="00A524B4"/>
    <w:rsid w:val="00A53BD6"/>
    <w:rsid w:val="00A55DBA"/>
    <w:rsid w:val="00A55DDC"/>
    <w:rsid w:val="00A6604C"/>
    <w:rsid w:val="00A67118"/>
    <w:rsid w:val="00A67D3C"/>
    <w:rsid w:val="00A72227"/>
    <w:rsid w:val="00A73B52"/>
    <w:rsid w:val="00A73BC6"/>
    <w:rsid w:val="00A73C77"/>
    <w:rsid w:val="00A73F08"/>
    <w:rsid w:val="00A759FA"/>
    <w:rsid w:val="00A76422"/>
    <w:rsid w:val="00A808F3"/>
    <w:rsid w:val="00A83360"/>
    <w:rsid w:val="00A83915"/>
    <w:rsid w:val="00A85417"/>
    <w:rsid w:val="00A85FC7"/>
    <w:rsid w:val="00A866FC"/>
    <w:rsid w:val="00A87127"/>
    <w:rsid w:val="00A87186"/>
    <w:rsid w:val="00A871DA"/>
    <w:rsid w:val="00A92590"/>
    <w:rsid w:val="00A92A55"/>
    <w:rsid w:val="00A94304"/>
    <w:rsid w:val="00A946EF"/>
    <w:rsid w:val="00A968B2"/>
    <w:rsid w:val="00A97CE6"/>
    <w:rsid w:val="00AA4BD7"/>
    <w:rsid w:val="00AA6422"/>
    <w:rsid w:val="00AA6DCF"/>
    <w:rsid w:val="00AB0FB1"/>
    <w:rsid w:val="00AB2812"/>
    <w:rsid w:val="00AB5D0F"/>
    <w:rsid w:val="00AC3A24"/>
    <w:rsid w:val="00AC4882"/>
    <w:rsid w:val="00AC5DC5"/>
    <w:rsid w:val="00AD4695"/>
    <w:rsid w:val="00AD4E7C"/>
    <w:rsid w:val="00AD72F0"/>
    <w:rsid w:val="00AE2C9F"/>
    <w:rsid w:val="00AF013F"/>
    <w:rsid w:val="00AF4EA9"/>
    <w:rsid w:val="00AF4FF4"/>
    <w:rsid w:val="00AF7F96"/>
    <w:rsid w:val="00B05AB6"/>
    <w:rsid w:val="00B068D3"/>
    <w:rsid w:val="00B068F3"/>
    <w:rsid w:val="00B0754B"/>
    <w:rsid w:val="00B07CD0"/>
    <w:rsid w:val="00B14BA5"/>
    <w:rsid w:val="00B161B6"/>
    <w:rsid w:val="00B20FFC"/>
    <w:rsid w:val="00B2620A"/>
    <w:rsid w:val="00B300BD"/>
    <w:rsid w:val="00B322F6"/>
    <w:rsid w:val="00B34F92"/>
    <w:rsid w:val="00B35E9D"/>
    <w:rsid w:val="00B367BB"/>
    <w:rsid w:val="00B37376"/>
    <w:rsid w:val="00B43FFD"/>
    <w:rsid w:val="00B50671"/>
    <w:rsid w:val="00B600EA"/>
    <w:rsid w:val="00B65BFB"/>
    <w:rsid w:val="00B70297"/>
    <w:rsid w:val="00B71635"/>
    <w:rsid w:val="00B7465F"/>
    <w:rsid w:val="00B821E1"/>
    <w:rsid w:val="00B82D2C"/>
    <w:rsid w:val="00B83042"/>
    <w:rsid w:val="00B85165"/>
    <w:rsid w:val="00B85742"/>
    <w:rsid w:val="00B8696D"/>
    <w:rsid w:val="00B91C4A"/>
    <w:rsid w:val="00BA1D3E"/>
    <w:rsid w:val="00BA3139"/>
    <w:rsid w:val="00BA526D"/>
    <w:rsid w:val="00BA6EB2"/>
    <w:rsid w:val="00BB0E1E"/>
    <w:rsid w:val="00BB1C8F"/>
    <w:rsid w:val="00BB1F64"/>
    <w:rsid w:val="00BB6C21"/>
    <w:rsid w:val="00BB7C6B"/>
    <w:rsid w:val="00BB7FD4"/>
    <w:rsid w:val="00BC161C"/>
    <w:rsid w:val="00BC3E94"/>
    <w:rsid w:val="00BC581C"/>
    <w:rsid w:val="00BD1305"/>
    <w:rsid w:val="00BD2E88"/>
    <w:rsid w:val="00BD790D"/>
    <w:rsid w:val="00BE3394"/>
    <w:rsid w:val="00BE6504"/>
    <w:rsid w:val="00BE656D"/>
    <w:rsid w:val="00BE7810"/>
    <w:rsid w:val="00BF052A"/>
    <w:rsid w:val="00BF5960"/>
    <w:rsid w:val="00BF616F"/>
    <w:rsid w:val="00C0002D"/>
    <w:rsid w:val="00C0209E"/>
    <w:rsid w:val="00C0276D"/>
    <w:rsid w:val="00C048CB"/>
    <w:rsid w:val="00C04D86"/>
    <w:rsid w:val="00C11550"/>
    <w:rsid w:val="00C14A2F"/>
    <w:rsid w:val="00C14F96"/>
    <w:rsid w:val="00C1550D"/>
    <w:rsid w:val="00C2209B"/>
    <w:rsid w:val="00C23661"/>
    <w:rsid w:val="00C25682"/>
    <w:rsid w:val="00C32DAF"/>
    <w:rsid w:val="00C333E0"/>
    <w:rsid w:val="00C33727"/>
    <w:rsid w:val="00C3720E"/>
    <w:rsid w:val="00C37B3A"/>
    <w:rsid w:val="00C405AA"/>
    <w:rsid w:val="00C47DA2"/>
    <w:rsid w:val="00C47E6C"/>
    <w:rsid w:val="00C51606"/>
    <w:rsid w:val="00C55835"/>
    <w:rsid w:val="00C60F0F"/>
    <w:rsid w:val="00C63484"/>
    <w:rsid w:val="00C655D0"/>
    <w:rsid w:val="00C65696"/>
    <w:rsid w:val="00C65A90"/>
    <w:rsid w:val="00C70112"/>
    <w:rsid w:val="00C7336C"/>
    <w:rsid w:val="00C73667"/>
    <w:rsid w:val="00C80163"/>
    <w:rsid w:val="00C820D5"/>
    <w:rsid w:val="00C82C66"/>
    <w:rsid w:val="00C83C98"/>
    <w:rsid w:val="00C8456D"/>
    <w:rsid w:val="00C9079C"/>
    <w:rsid w:val="00C91587"/>
    <w:rsid w:val="00C91F50"/>
    <w:rsid w:val="00C9284A"/>
    <w:rsid w:val="00C95668"/>
    <w:rsid w:val="00C97032"/>
    <w:rsid w:val="00CA1FFC"/>
    <w:rsid w:val="00CA2BD8"/>
    <w:rsid w:val="00CA4E79"/>
    <w:rsid w:val="00CA5EE7"/>
    <w:rsid w:val="00CA60D5"/>
    <w:rsid w:val="00CA61A5"/>
    <w:rsid w:val="00CB0B72"/>
    <w:rsid w:val="00CB1D92"/>
    <w:rsid w:val="00CB697D"/>
    <w:rsid w:val="00CB6D97"/>
    <w:rsid w:val="00CB6FD8"/>
    <w:rsid w:val="00CC408F"/>
    <w:rsid w:val="00CC569F"/>
    <w:rsid w:val="00CD0903"/>
    <w:rsid w:val="00CD11C8"/>
    <w:rsid w:val="00CD3A12"/>
    <w:rsid w:val="00CE0735"/>
    <w:rsid w:val="00CE14C9"/>
    <w:rsid w:val="00CE31AD"/>
    <w:rsid w:val="00CE58A8"/>
    <w:rsid w:val="00CE5A7C"/>
    <w:rsid w:val="00CE647A"/>
    <w:rsid w:val="00CF3B4F"/>
    <w:rsid w:val="00CF659A"/>
    <w:rsid w:val="00CF7062"/>
    <w:rsid w:val="00CF7110"/>
    <w:rsid w:val="00D02C2A"/>
    <w:rsid w:val="00D0339F"/>
    <w:rsid w:val="00D04345"/>
    <w:rsid w:val="00D11C12"/>
    <w:rsid w:val="00D12A22"/>
    <w:rsid w:val="00D149E8"/>
    <w:rsid w:val="00D170F0"/>
    <w:rsid w:val="00D171A8"/>
    <w:rsid w:val="00D27FC6"/>
    <w:rsid w:val="00D35EBB"/>
    <w:rsid w:val="00D41D76"/>
    <w:rsid w:val="00D44B85"/>
    <w:rsid w:val="00D458A8"/>
    <w:rsid w:val="00D513CC"/>
    <w:rsid w:val="00D51BF4"/>
    <w:rsid w:val="00D52114"/>
    <w:rsid w:val="00D53147"/>
    <w:rsid w:val="00D53B60"/>
    <w:rsid w:val="00D54466"/>
    <w:rsid w:val="00D57450"/>
    <w:rsid w:val="00D6089D"/>
    <w:rsid w:val="00D653CE"/>
    <w:rsid w:val="00D7534E"/>
    <w:rsid w:val="00D75BDB"/>
    <w:rsid w:val="00D76378"/>
    <w:rsid w:val="00D766F2"/>
    <w:rsid w:val="00D77975"/>
    <w:rsid w:val="00D80F33"/>
    <w:rsid w:val="00D81FEB"/>
    <w:rsid w:val="00D8763C"/>
    <w:rsid w:val="00D91AAB"/>
    <w:rsid w:val="00D923E9"/>
    <w:rsid w:val="00D924F2"/>
    <w:rsid w:val="00D97F71"/>
    <w:rsid w:val="00DA00B6"/>
    <w:rsid w:val="00DA54B8"/>
    <w:rsid w:val="00DA75F9"/>
    <w:rsid w:val="00DB13AD"/>
    <w:rsid w:val="00DB1ABA"/>
    <w:rsid w:val="00DB4274"/>
    <w:rsid w:val="00DB48E5"/>
    <w:rsid w:val="00DC0DA8"/>
    <w:rsid w:val="00DC610F"/>
    <w:rsid w:val="00DD417C"/>
    <w:rsid w:val="00DD5F63"/>
    <w:rsid w:val="00DE3AEE"/>
    <w:rsid w:val="00DE5830"/>
    <w:rsid w:val="00DE6057"/>
    <w:rsid w:val="00DE6A58"/>
    <w:rsid w:val="00DF12BF"/>
    <w:rsid w:val="00DF2716"/>
    <w:rsid w:val="00DF4491"/>
    <w:rsid w:val="00DF4924"/>
    <w:rsid w:val="00DF55E1"/>
    <w:rsid w:val="00E02195"/>
    <w:rsid w:val="00E025EB"/>
    <w:rsid w:val="00E11428"/>
    <w:rsid w:val="00E11FBD"/>
    <w:rsid w:val="00E13126"/>
    <w:rsid w:val="00E1388C"/>
    <w:rsid w:val="00E13CB5"/>
    <w:rsid w:val="00E13DA2"/>
    <w:rsid w:val="00E172B5"/>
    <w:rsid w:val="00E27139"/>
    <w:rsid w:val="00E271B3"/>
    <w:rsid w:val="00E2723B"/>
    <w:rsid w:val="00E32538"/>
    <w:rsid w:val="00E3387A"/>
    <w:rsid w:val="00E33C89"/>
    <w:rsid w:val="00E37A87"/>
    <w:rsid w:val="00E40DA3"/>
    <w:rsid w:val="00E4438B"/>
    <w:rsid w:val="00E443D2"/>
    <w:rsid w:val="00E45BB1"/>
    <w:rsid w:val="00E50318"/>
    <w:rsid w:val="00E52D8E"/>
    <w:rsid w:val="00E53A2B"/>
    <w:rsid w:val="00E54BBB"/>
    <w:rsid w:val="00E60126"/>
    <w:rsid w:val="00E603D9"/>
    <w:rsid w:val="00E675FE"/>
    <w:rsid w:val="00E67BD9"/>
    <w:rsid w:val="00E67DDE"/>
    <w:rsid w:val="00E7476B"/>
    <w:rsid w:val="00E75B2E"/>
    <w:rsid w:val="00E76E90"/>
    <w:rsid w:val="00E805BB"/>
    <w:rsid w:val="00E80858"/>
    <w:rsid w:val="00E81348"/>
    <w:rsid w:val="00E8308A"/>
    <w:rsid w:val="00E83AD6"/>
    <w:rsid w:val="00E86773"/>
    <w:rsid w:val="00E95725"/>
    <w:rsid w:val="00E96E46"/>
    <w:rsid w:val="00E970F2"/>
    <w:rsid w:val="00EA0108"/>
    <w:rsid w:val="00EA3332"/>
    <w:rsid w:val="00EA37DA"/>
    <w:rsid w:val="00EA61D1"/>
    <w:rsid w:val="00EB086F"/>
    <w:rsid w:val="00EB17BB"/>
    <w:rsid w:val="00EB3135"/>
    <w:rsid w:val="00EB4F79"/>
    <w:rsid w:val="00EB5B1D"/>
    <w:rsid w:val="00EC1B7C"/>
    <w:rsid w:val="00EC2186"/>
    <w:rsid w:val="00EC2359"/>
    <w:rsid w:val="00EC4DCF"/>
    <w:rsid w:val="00ED017E"/>
    <w:rsid w:val="00ED0FC2"/>
    <w:rsid w:val="00ED11F1"/>
    <w:rsid w:val="00ED41C6"/>
    <w:rsid w:val="00ED4BC5"/>
    <w:rsid w:val="00ED7991"/>
    <w:rsid w:val="00EE23EE"/>
    <w:rsid w:val="00EE4892"/>
    <w:rsid w:val="00EF2BCD"/>
    <w:rsid w:val="00EF5CBB"/>
    <w:rsid w:val="00F01682"/>
    <w:rsid w:val="00F03069"/>
    <w:rsid w:val="00F057E6"/>
    <w:rsid w:val="00F062C4"/>
    <w:rsid w:val="00F12673"/>
    <w:rsid w:val="00F12859"/>
    <w:rsid w:val="00F14439"/>
    <w:rsid w:val="00F20551"/>
    <w:rsid w:val="00F24730"/>
    <w:rsid w:val="00F25FD9"/>
    <w:rsid w:val="00F26DFC"/>
    <w:rsid w:val="00F31A37"/>
    <w:rsid w:val="00F3394A"/>
    <w:rsid w:val="00F34380"/>
    <w:rsid w:val="00F35F06"/>
    <w:rsid w:val="00F45BA7"/>
    <w:rsid w:val="00F47BCF"/>
    <w:rsid w:val="00F47E7E"/>
    <w:rsid w:val="00F5090C"/>
    <w:rsid w:val="00F511FA"/>
    <w:rsid w:val="00F55D4A"/>
    <w:rsid w:val="00F72ECE"/>
    <w:rsid w:val="00F8125F"/>
    <w:rsid w:val="00F81FDA"/>
    <w:rsid w:val="00F83693"/>
    <w:rsid w:val="00F8736F"/>
    <w:rsid w:val="00F90D70"/>
    <w:rsid w:val="00F96C64"/>
    <w:rsid w:val="00F96F4F"/>
    <w:rsid w:val="00FA05F2"/>
    <w:rsid w:val="00FA07FB"/>
    <w:rsid w:val="00FA1549"/>
    <w:rsid w:val="00FA2C1F"/>
    <w:rsid w:val="00FA60D2"/>
    <w:rsid w:val="00FA75EA"/>
    <w:rsid w:val="00FA7A2B"/>
    <w:rsid w:val="00FB28E5"/>
    <w:rsid w:val="00FB5308"/>
    <w:rsid w:val="00FB6263"/>
    <w:rsid w:val="00FC0A15"/>
    <w:rsid w:val="00FC49AE"/>
    <w:rsid w:val="00FC6588"/>
    <w:rsid w:val="00FC6CE1"/>
    <w:rsid w:val="00FC7CEE"/>
    <w:rsid w:val="00FE03E7"/>
    <w:rsid w:val="00FE197A"/>
    <w:rsid w:val="00FE2F79"/>
    <w:rsid w:val="00FE5044"/>
    <w:rsid w:val="00FE5226"/>
    <w:rsid w:val="00FF084D"/>
    <w:rsid w:val="00FF628E"/>
    <w:rsid w:val="00FF787D"/>
    <w:rsid w:val="01853E11"/>
    <w:rsid w:val="01B879F4"/>
    <w:rsid w:val="01EA0118"/>
    <w:rsid w:val="02B0310F"/>
    <w:rsid w:val="03D96696"/>
    <w:rsid w:val="060A2B37"/>
    <w:rsid w:val="06257970"/>
    <w:rsid w:val="078F3A49"/>
    <w:rsid w:val="09574568"/>
    <w:rsid w:val="0A2A15EE"/>
    <w:rsid w:val="0AD025A1"/>
    <w:rsid w:val="0AF3628F"/>
    <w:rsid w:val="0B9C6C41"/>
    <w:rsid w:val="0C2661F0"/>
    <w:rsid w:val="0C6A3809"/>
    <w:rsid w:val="0C7D5BD2"/>
    <w:rsid w:val="0D964007"/>
    <w:rsid w:val="0DCD1019"/>
    <w:rsid w:val="0E2844A2"/>
    <w:rsid w:val="0F5D63CD"/>
    <w:rsid w:val="0F625791"/>
    <w:rsid w:val="124D44D7"/>
    <w:rsid w:val="15030855"/>
    <w:rsid w:val="173348D1"/>
    <w:rsid w:val="180F222F"/>
    <w:rsid w:val="18AD2173"/>
    <w:rsid w:val="1917583F"/>
    <w:rsid w:val="1A8B2040"/>
    <w:rsid w:val="1B886580"/>
    <w:rsid w:val="1B9A4751"/>
    <w:rsid w:val="1BC33A5C"/>
    <w:rsid w:val="1BF43C15"/>
    <w:rsid w:val="1D2A0873"/>
    <w:rsid w:val="1FBE6A14"/>
    <w:rsid w:val="20887022"/>
    <w:rsid w:val="223B7016"/>
    <w:rsid w:val="230C5CE8"/>
    <w:rsid w:val="24594095"/>
    <w:rsid w:val="25114BE8"/>
    <w:rsid w:val="266F2816"/>
    <w:rsid w:val="26964247"/>
    <w:rsid w:val="26E33259"/>
    <w:rsid w:val="28CB21A2"/>
    <w:rsid w:val="2A77613D"/>
    <w:rsid w:val="2B316E5E"/>
    <w:rsid w:val="2BD53DFD"/>
    <w:rsid w:val="2C341CC9"/>
    <w:rsid w:val="2C6D5A4A"/>
    <w:rsid w:val="2C9C00DD"/>
    <w:rsid w:val="2DE67E2C"/>
    <w:rsid w:val="2F14119A"/>
    <w:rsid w:val="30590093"/>
    <w:rsid w:val="34337579"/>
    <w:rsid w:val="34A915E9"/>
    <w:rsid w:val="34E02B31"/>
    <w:rsid w:val="352549E8"/>
    <w:rsid w:val="360016DD"/>
    <w:rsid w:val="3632560E"/>
    <w:rsid w:val="37353608"/>
    <w:rsid w:val="375F68D7"/>
    <w:rsid w:val="37D3697D"/>
    <w:rsid w:val="38DE1A7D"/>
    <w:rsid w:val="39D54C2E"/>
    <w:rsid w:val="3B293484"/>
    <w:rsid w:val="3D7D7AB7"/>
    <w:rsid w:val="3EEF0E81"/>
    <w:rsid w:val="3FA4132B"/>
    <w:rsid w:val="400C6ED0"/>
    <w:rsid w:val="417B430D"/>
    <w:rsid w:val="43607C5E"/>
    <w:rsid w:val="44E346A3"/>
    <w:rsid w:val="475950F1"/>
    <w:rsid w:val="48217291"/>
    <w:rsid w:val="4823125B"/>
    <w:rsid w:val="48C447EC"/>
    <w:rsid w:val="4B2F1206"/>
    <w:rsid w:val="4B595D9F"/>
    <w:rsid w:val="4CC4452E"/>
    <w:rsid w:val="51654692"/>
    <w:rsid w:val="52CF6267"/>
    <w:rsid w:val="52D11560"/>
    <w:rsid w:val="561D378D"/>
    <w:rsid w:val="56254D57"/>
    <w:rsid w:val="57A71560"/>
    <w:rsid w:val="58507E4A"/>
    <w:rsid w:val="595A73B6"/>
    <w:rsid w:val="59796F2C"/>
    <w:rsid w:val="59861649"/>
    <w:rsid w:val="599553D3"/>
    <w:rsid w:val="5AFC7E15"/>
    <w:rsid w:val="5BA54009"/>
    <w:rsid w:val="5C645C72"/>
    <w:rsid w:val="5E736640"/>
    <w:rsid w:val="5E824C6A"/>
    <w:rsid w:val="5F096FA4"/>
    <w:rsid w:val="5FB4311A"/>
    <w:rsid w:val="60031C46"/>
    <w:rsid w:val="60975B6C"/>
    <w:rsid w:val="609A4358"/>
    <w:rsid w:val="615C785F"/>
    <w:rsid w:val="61BA27D8"/>
    <w:rsid w:val="64487C27"/>
    <w:rsid w:val="648669A1"/>
    <w:rsid w:val="65445212"/>
    <w:rsid w:val="65FC53A9"/>
    <w:rsid w:val="6646288C"/>
    <w:rsid w:val="66EF082E"/>
    <w:rsid w:val="67F26828"/>
    <w:rsid w:val="6A1A2066"/>
    <w:rsid w:val="6AC326FD"/>
    <w:rsid w:val="6DDB5FB0"/>
    <w:rsid w:val="6EF551D6"/>
    <w:rsid w:val="6F370FC4"/>
    <w:rsid w:val="710870BC"/>
    <w:rsid w:val="71CA25C3"/>
    <w:rsid w:val="72E90827"/>
    <w:rsid w:val="772868C8"/>
    <w:rsid w:val="775546DD"/>
    <w:rsid w:val="787E1A12"/>
    <w:rsid w:val="78D855C6"/>
    <w:rsid w:val="797A7C8F"/>
    <w:rsid w:val="79F20909"/>
    <w:rsid w:val="7A0E5017"/>
    <w:rsid w:val="7BB06386"/>
    <w:rsid w:val="7BE6624C"/>
    <w:rsid w:val="7CC16371"/>
    <w:rsid w:val="7D2A03BA"/>
    <w:rsid w:val="7DC600E3"/>
    <w:rsid w:val="7E1846B6"/>
    <w:rsid w:val="7FF60A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C0B9F"/>
  <w15:docId w15:val="{D52EA6AC-B738-4A3C-8712-798A7051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7"/>
    <w:next w:val="a7"/>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ac"/>
    <w:uiPriority w:val="99"/>
    <w:semiHidden/>
    <w:unhideWhenUsed/>
    <w:qFormat/>
    <w:rPr>
      <w:rFonts w:ascii="宋体" w:eastAsia="宋体"/>
      <w:sz w:val="18"/>
      <w:szCs w:val="18"/>
    </w:rPr>
  </w:style>
  <w:style w:type="paragraph" w:styleId="ad">
    <w:name w:val="annotation text"/>
    <w:basedOn w:val="a7"/>
    <w:link w:val="ae"/>
    <w:uiPriority w:val="99"/>
    <w:semiHidden/>
    <w:unhideWhenUsed/>
    <w:qFormat/>
    <w:pPr>
      <w:jc w:val="left"/>
    </w:pPr>
  </w:style>
  <w:style w:type="paragraph" w:styleId="af">
    <w:name w:val="Body Text"/>
    <w:basedOn w:val="a7"/>
    <w:qFormat/>
    <w:pPr>
      <w:tabs>
        <w:tab w:val="left" w:pos="7200"/>
      </w:tabs>
      <w:snapToGrid w:val="0"/>
      <w:jc w:val="left"/>
    </w:pPr>
    <w:rPr>
      <w:rFonts w:ascii="Arial" w:eastAsia="PMingLiU" w:hAnsi="Arial"/>
      <w:sz w:val="20"/>
      <w:lang w:eastAsia="zh-TW"/>
    </w:rPr>
  </w:style>
  <w:style w:type="paragraph" w:styleId="af0">
    <w:name w:val="Body Text Indent"/>
    <w:basedOn w:val="a7"/>
    <w:qFormat/>
    <w:pPr>
      <w:spacing w:after="120"/>
      <w:ind w:leftChars="200" w:left="420"/>
    </w:pPr>
    <w:rPr>
      <w:rFonts w:ascii="Times New Roman" w:hAnsi="Times New Roman" w:cs="Times New Roman"/>
    </w:rPr>
  </w:style>
  <w:style w:type="paragraph" w:styleId="af1">
    <w:name w:val="Balloon Text"/>
    <w:basedOn w:val="a7"/>
    <w:link w:val="af2"/>
    <w:uiPriority w:val="99"/>
    <w:semiHidden/>
    <w:unhideWhenUsed/>
    <w:qFormat/>
    <w:rPr>
      <w:sz w:val="18"/>
      <w:szCs w:val="18"/>
    </w:rPr>
  </w:style>
  <w:style w:type="paragraph" w:styleId="af3">
    <w:name w:val="footer"/>
    <w:basedOn w:val="a7"/>
    <w:link w:val="af4"/>
    <w:uiPriority w:val="99"/>
    <w:unhideWhenUsed/>
    <w:qFormat/>
    <w:pPr>
      <w:tabs>
        <w:tab w:val="center" w:pos="4153"/>
        <w:tab w:val="right" w:pos="8306"/>
      </w:tabs>
      <w:snapToGrid w:val="0"/>
      <w:jc w:val="left"/>
    </w:pPr>
    <w:rPr>
      <w:sz w:val="18"/>
      <w:szCs w:val="18"/>
    </w:rPr>
  </w:style>
  <w:style w:type="paragraph" w:styleId="af5">
    <w:name w:val="header"/>
    <w:basedOn w:val="a7"/>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af7">
    <w:name w:val="Normal (Web)"/>
    <w:basedOn w:val="a7"/>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8">
    <w:name w:val="Title"/>
    <w:basedOn w:val="a7"/>
    <w:next w:val="a7"/>
    <w:uiPriority w:val="10"/>
    <w:qFormat/>
    <w:pPr>
      <w:spacing w:before="240" w:after="60" w:line="360" w:lineRule="auto"/>
      <w:jc w:val="left"/>
      <w:outlineLvl w:val="0"/>
    </w:pPr>
    <w:rPr>
      <w:rFonts w:asciiTheme="majorHAnsi" w:eastAsia="仿宋" w:hAnsiTheme="majorHAnsi" w:cstheme="majorBidi"/>
      <w:b/>
      <w:bCs/>
      <w:sz w:val="32"/>
      <w:szCs w:val="32"/>
    </w:rPr>
  </w:style>
  <w:style w:type="paragraph" w:styleId="af9">
    <w:name w:val="annotation subject"/>
    <w:basedOn w:val="ad"/>
    <w:next w:val="ad"/>
    <w:link w:val="afa"/>
    <w:uiPriority w:val="99"/>
    <w:semiHidden/>
    <w:unhideWhenUsed/>
    <w:qFormat/>
    <w:rPr>
      <w:b/>
      <w:bCs/>
    </w:rPr>
  </w:style>
  <w:style w:type="paragraph" w:styleId="afb">
    <w:name w:val="Body Text First Indent"/>
    <w:basedOn w:val="af"/>
    <w:uiPriority w:val="99"/>
    <w:unhideWhenUsed/>
    <w:qFormat/>
    <w:pPr>
      <w:ind w:firstLineChars="100" w:firstLine="420"/>
    </w:pPr>
  </w:style>
  <w:style w:type="paragraph" w:styleId="20">
    <w:name w:val="Body Text First Indent 2"/>
    <w:basedOn w:val="af0"/>
    <w:qFormat/>
    <w:pPr>
      <w:ind w:firstLineChars="200" w:firstLine="420"/>
    </w:pPr>
    <w:rPr>
      <w:rFonts w:ascii="Calibri" w:eastAsia="宋体" w:hAnsi="Calibri"/>
    </w:rPr>
  </w:style>
  <w:style w:type="table" w:styleId="afc">
    <w:name w:val="Table Grid"/>
    <w:basedOn w:val="a9"/>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d">
    <w:name w:val="Hyperlink"/>
    <w:basedOn w:val="a8"/>
    <w:uiPriority w:val="99"/>
    <w:unhideWhenUsed/>
    <w:qFormat/>
    <w:rPr>
      <w:color w:val="428BCA"/>
      <w:u w:val="none"/>
      <w:shd w:val="clear" w:color="auto" w:fill="auto"/>
    </w:rPr>
  </w:style>
  <w:style w:type="character" w:styleId="afe">
    <w:name w:val="annotation reference"/>
    <w:basedOn w:val="a8"/>
    <w:uiPriority w:val="99"/>
    <w:semiHidden/>
    <w:unhideWhenUsed/>
    <w:qFormat/>
    <w:rPr>
      <w:sz w:val="21"/>
      <w:szCs w:val="21"/>
    </w:rPr>
  </w:style>
  <w:style w:type="character" w:customStyle="1" w:styleId="af6">
    <w:name w:val="页眉 字符"/>
    <w:basedOn w:val="a8"/>
    <w:link w:val="af5"/>
    <w:uiPriority w:val="99"/>
    <w:qFormat/>
    <w:rPr>
      <w:sz w:val="18"/>
      <w:szCs w:val="18"/>
    </w:rPr>
  </w:style>
  <w:style w:type="character" w:customStyle="1" w:styleId="af4">
    <w:name w:val="页脚 字符"/>
    <w:basedOn w:val="a8"/>
    <w:link w:val="af3"/>
    <w:uiPriority w:val="99"/>
    <w:qFormat/>
    <w:rPr>
      <w:sz w:val="18"/>
      <w:szCs w:val="18"/>
    </w:rPr>
  </w:style>
  <w:style w:type="character" w:customStyle="1" w:styleId="Char">
    <w:name w:val="段 Char"/>
    <w:link w:val="aff"/>
    <w:qFormat/>
    <w:rPr>
      <w:rFonts w:ascii="宋体"/>
    </w:rPr>
  </w:style>
  <w:style w:type="paragraph" w:customStyle="1" w:styleId="aff">
    <w:name w:val="段"/>
    <w:link w:val="Char"/>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styleId="aff0">
    <w:name w:val="List Paragraph"/>
    <w:basedOn w:val="a7"/>
    <w:uiPriority w:val="34"/>
    <w:qFormat/>
    <w:pPr>
      <w:ind w:firstLineChars="200" w:firstLine="420"/>
    </w:pPr>
  </w:style>
  <w:style w:type="character" w:customStyle="1" w:styleId="ac">
    <w:name w:val="文档结构图 字符"/>
    <w:basedOn w:val="a8"/>
    <w:link w:val="ab"/>
    <w:uiPriority w:val="99"/>
    <w:semiHidden/>
    <w:qFormat/>
    <w:rPr>
      <w:rFonts w:ascii="宋体" w:eastAsia="宋体"/>
      <w:sz w:val="18"/>
      <w:szCs w:val="18"/>
    </w:rPr>
  </w:style>
  <w:style w:type="character" w:customStyle="1" w:styleId="1">
    <w:name w:val="标题1"/>
    <w:basedOn w:val="a8"/>
    <w:qFormat/>
  </w:style>
  <w:style w:type="paragraph" w:customStyle="1" w:styleId="a4">
    <w:name w:val="注：（正文）"/>
    <w:basedOn w:val="a7"/>
    <w:next w:val="aff"/>
    <w:qFormat/>
    <w:pPr>
      <w:numPr>
        <w:numId w:val="1"/>
      </w:numPr>
      <w:autoSpaceDE w:val="0"/>
      <w:autoSpaceDN w:val="0"/>
      <w:ind w:left="726"/>
    </w:pPr>
    <w:rPr>
      <w:rFonts w:ascii="宋体" w:eastAsia="宋体" w:hAnsi="Times New Roman" w:cs="Times New Roman"/>
      <w:kern w:val="0"/>
      <w:sz w:val="18"/>
      <w:szCs w:val="18"/>
    </w:rPr>
  </w:style>
  <w:style w:type="character" w:customStyle="1" w:styleId="af2">
    <w:name w:val="批注框文本 字符"/>
    <w:basedOn w:val="a8"/>
    <w:link w:val="af1"/>
    <w:uiPriority w:val="99"/>
    <w:semiHidden/>
    <w:qFormat/>
    <w:rPr>
      <w:sz w:val="18"/>
      <w:szCs w:val="18"/>
    </w:rPr>
  </w:style>
  <w:style w:type="paragraph" w:customStyle="1" w:styleId="a5">
    <w:name w:val="附录图标号"/>
    <w:basedOn w:val="a7"/>
    <w:qFormat/>
    <w:pPr>
      <w:keepNext/>
      <w:pageBreakBefore/>
      <w:widowControl/>
      <w:numPr>
        <w:numId w:val="2"/>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6">
    <w:name w:val="附录图标题"/>
    <w:basedOn w:val="a7"/>
    <w:next w:val="aff"/>
    <w:qFormat/>
    <w:pPr>
      <w:numPr>
        <w:ilvl w:val="1"/>
        <w:numId w:val="2"/>
      </w:numPr>
      <w:tabs>
        <w:tab w:val="left" w:pos="363"/>
      </w:tabs>
      <w:spacing w:beforeLines="50" w:afterLines="50"/>
      <w:ind w:left="0" w:firstLine="0"/>
      <w:jc w:val="center"/>
    </w:pPr>
    <w:rPr>
      <w:rFonts w:ascii="黑体" w:eastAsia="黑体" w:hAnsi="Times New Roman" w:cs="Times New Roman"/>
      <w:szCs w:val="21"/>
    </w:rPr>
  </w:style>
  <w:style w:type="character" w:customStyle="1" w:styleId="ae">
    <w:name w:val="批注文字 字符"/>
    <w:basedOn w:val="a8"/>
    <w:link w:val="ad"/>
    <w:uiPriority w:val="99"/>
    <w:semiHidden/>
    <w:qFormat/>
  </w:style>
  <w:style w:type="character" w:customStyle="1" w:styleId="afa">
    <w:name w:val="批注主题 字符"/>
    <w:basedOn w:val="ae"/>
    <w:link w:val="af9"/>
    <w:uiPriority w:val="99"/>
    <w:semiHidden/>
    <w:qFormat/>
    <w:rPr>
      <w:b/>
      <w:bCs/>
    </w:rPr>
  </w:style>
  <w:style w:type="paragraph" w:customStyle="1" w:styleId="aff1">
    <w:name w:val="正文公式编号制表符"/>
    <w:basedOn w:val="aff"/>
    <w:next w:val="aff"/>
    <w:qFormat/>
    <w:pPr>
      <w:ind w:firstLineChars="0" w:firstLine="0"/>
    </w:pPr>
    <w:rPr>
      <w:rFonts w:eastAsia="宋体" w:hAnsi="Times New Roman" w:cs="Times New Roman"/>
      <w:kern w:val="0"/>
      <w:szCs w:val="20"/>
    </w:rPr>
  </w:style>
  <w:style w:type="paragraph" w:customStyle="1" w:styleId="a0">
    <w:name w:val="一级条标题"/>
    <w:next w:val="aff"/>
    <w:qFormat/>
    <w:pPr>
      <w:numPr>
        <w:ilvl w:val="1"/>
        <w:numId w:val="3"/>
      </w:numPr>
      <w:spacing w:beforeLines="50" w:afterLines="50"/>
      <w:outlineLvl w:val="2"/>
    </w:pPr>
    <w:rPr>
      <w:rFonts w:ascii="黑体" w:eastAsia="黑体"/>
      <w:sz w:val="21"/>
      <w:szCs w:val="21"/>
    </w:rPr>
  </w:style>
  <w:style w:type="paragraph" w:customStyle="1" w:styleId="a">
    <w:name w:val="章标题"/>
    <w:next w:val="aff"/>
    <w:qFormat/>
    <w:pPr>
      <w:numPr>
        <w:numId w:val="3"/>
      </w:numPr>
      <w:spacing w:beforeLines="100" w:afterLines="100"/>
      <w:jc w:val="both"/>
      <w:outlineLvl w:val="1"/>
    </w:pPr>
    <w:rPr>
      <w:rFonts w:ascii="黑体" w:eastAsia="黑体"/>
      <w:sz w:val="21"/>
    </w:rPr>
  </w:style>
  <w:style w:type="paragraph" w:customStyle="1" w:styleId="a1">
    <w:name w:val="二级条标题"/>
    <w:basedOn w:val="a0"/>
    <w:next w:val="aff"/>
    <w:qFormat/>
    <w:pPr>
      <w:numPr>
        <w:ilvl w:val="2"/>
      </w:numPr>
      <w:spacing w:before="50" w:after="50"/>
      <w:outlineLvl w:val="3"/>
    </w:pPr>
  </w:style>
  <w:style w:type="paragraph" w:customStyle="1" w:styleId="a2">
    <w:name w:val="四级条标题"/>
    <w:basedOn w:val="a7"/>
    <w:next w:val="aff"/>
    <w:qFormat/>
    <w:pPr>
      <w:widowControl/>
      <w:numPr>
        <w:ilvl w:val="4"/>
        <w:numId w:val="3"/>
      </w:numPr>
      <w:spacing w:beforeLines="50" w:afterLines="50"/>
      <w:jc w:val="left"/>
      <w:outlineLvl w:val="5"/>
    </w:pPr>
    <w:rPr>
      <w:rFonts w:ascii="黑体" w:eastAsia="黑体" w:hAnsi="Times New Roman" w:cs="Times New Roman"/>
      <w:kern w:val="0"/>
      <w:szCs w:val="21"/>
    </w:rPr>
  </w:style>
  <w:style w:type="paragraph" w:customStyle="1" w:styleId="a3">
    <w:name w:val="五级条标题"/>
    <w:basedOn w:val="a2"/>
    <w:next w:val="aff"/>
    <w:qFormat/>
    <w:pPr>
      <w:numPr>
        <w:ilvl w:val="5"/>
      </w:numPr>
      <w:outlineLvl w:val="6"/>
    </w:pPr>
  </w:style>
  <w:style w:type="paragraph" w:customStyle="1" w:styleId="aff2">
    <w:name w:val="二级无"/>
    <w:basedOn w:val="a1"/>
    <w:qFormat/>
    <w:pPr>
      <w:spacing w:beforeLines="0" w:afterLines="0"/>
      <w:ind w:left="0"/>
    </w:pPr>
    <w:rPr>
      <w:rFonts w:ascii="宋体" w:eastAsia="宋体"/>
    </w:rPr>
  </w:style>
  <w:style w:type="character" w:styleId="aff3">
    <w:name w:val="Placeholder Text"/>
    <w:basedOn w:val="a8"/>
    <w:uiPriority w:val="99"/>
    <w:semiHidden/>
    <w:qFormat/>
    <w:rPr>
      <w:color w:val="808080"/>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customStyle="1" w:styleId="aff4">
    <w:name w:val="标准文件_段"/>
    <w:link w:val="Char0"/>
    <w:qFormat/>
    <w:pPr>
      <w:autoSpaceDE w:val="0"/>
      <w:autoSpaceDN w:val="0"/>
      <w:ind w:firstLineChars="200" w:firstLine="200"/>
      <w:jc w:val="both"/>
    </w:pPr>
    <w:rPr>
      <w:rFonts w:ascii="宋体"/>
      <w:sz w:val="21"/>
    </w:rPr>
  </w:style>
  <w:style w:type="character" w:customStyle="1" w:styleId="Char0">
    <w:name w:val="标准文件_段 Char"/>
    <w:link w:val="aff4"/>
    <w:qFormat/>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JinKo</dc:creator>
  <cp:lastModifiedBy>Cuihao (EBG)</cp:lastModifiedBy>
  <cp:revision>141</cp:revision>
  <dcterms:created xsi:type="dcterms:W3CDTF">2020-07-20T02:56:00Z</dcterms:created>
  <dcterms:modified xsi:type="dcterms:W3CDTF">2025-08-06T01:25:00Z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(3)btVO/G0zQNtV1mGpR3+fUoSMexA0Xo9hp6hkXHHe4cvK8loXhXoDDsDjp2vXYsTVsUOe+jjU
AM0YzbvzpafGTR0WelCIg/zSBbR6olKnuDhsq+Q1WdTkUFoxRtL4juOzdO4E0Uj9jojw4yhD
AEItOhv3JTwleQqL2NVAYFAY/YdN4I0lQRjfIKoQuripFRy7n1aQGcJWvi0tFpGJOO+2cAjq
2mVLHmwqqDWg3H9EGY</vt:lpwstr>
  </property>
  <property fmtid="{D5CDD505-2E9C-101B-9397-08002B2CF9AE}" pid="3" name="_2015_ms_pID_7253431">
    <vt:lpwstr>9PWM84fkWFFvse/54K2Ya4fzQzEksZGhfEfHNZnqCWbT3fVhE1KHDs
bfZI4j5yEGlpqMZD7FWPUsIFX6K486i/rlG+IvuIVIQG4f1XOGP1UcHgNAVQtKWZfBcJ6IgJ
NnEr/IwVdDgEArdSDOFq+cR7GIsJClT7chcIu7gCA/0pf4qhW5o7WfodqXGAAGxD+kb8ht+4
q3k7j3l/s5MUAsR9i2QzCoXRNAbu1jjMXSQ3</vt:lpwstr>
  </property>
  <property fmtid="{D5CDD505-2E9C-101B-9397-08002B2CF9AE}" pid="4" name="_2015_ms_pID_7253432">
    <vt:lpwstr>NCujSY5JIXgz+2K6ZdQl9h4=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1733821745</vt:lpwstr>
  </property>
  <property fmtid="{D5CDD505-2E9C-101B-9397-08002B2CF9AE}" pid="9" name="KSOTemplateDocerSaveRecord">
    <vt:lpwstr>eyJoZGlkIjoiNWFiOWFjNjk0YzQxN2NmYjRhOWE3OThkYmZhYWNmNDQiLCJ1c2VySWQiOiI0MTYxODMzNTEifQ==</vt:lpwstr>
  </property>
  <property fmtid="{D5CDD505-2E9C-101B-9397-08002B2CF9AE}" pid="10" name="KSOProductBuildVer">
    <vt:lpwstr>2052-12.1.0.21915</vt:lpwstr>
  </property>
  <property fmtid="{D5CDD505-2E9C-101B-9397-08002B2CF9AE}" pid="11" name="ICV">
    <vt:lpwstr>7FDACA01C1614486BF428FA2CC18B02C_13</vt:lpwstr>
  </property>
</Properties>
</file>